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03" w:rsidRDefault="00190E03" w:rsidP="00AE223C">
      <w:pPr>
        <w:jc w:val="center"/>
        <w:rPr>
          <w:szCs w:val="24"/>
        </w:rPr>
      </w:pPr>
      <w:r>
        <w:rPr>
          <w:b/>
          <w:szCs w:val="24"/>
        </w:rPr>
        <w:t xml:space="preserve">                                                                           </w:t>
      </w:r>
      <w:r w:rsidRPr="00190E03">
        <w:rPr>
          <w:szCs w:val="24"/>
        </w:rPr>
        <w:t>Mokytojų tarybos posėdžio</w:t>
      </w:r>
    </w:p>
    <w:p w:rsidR="00190E03" w:rsidRDefault="00190E03" w:rsidP="00AE223C">
      <w:pPr>
        <w:jc w:val="center"/>
        <w:rPr>
          <w:szCs w:val="24"/>
        </w:rPr>
      </w:pPr>
      <w:r>
        <w:rPr>
          <w:szCs w:val="24"/>
        </w:rPr>
        <w:t xml:space="preserve">                                                                                               2014 m. birželio 5 d. protokolo Nr. P1-1</w:t>
      </w:r>
    </w:p>
    <w:p w:rsidR="00190E03" w:rsidRPr="00190E03" w:rsidRDefault="00190E03" w:rsidP="00AE223C">
      <w:pPr>
        <w:jc w:val="center"/>
        <w:rPr>
          <w:szCs w:val="24"/>
        </w:rPr>
      </w:pPr>
      <w:r>
        <w:rPr>
          <w:szCs w:val="24"/>
        </w:rPr>
        <w:t xml:space="preserve">                                              9 priedas</w:t>
      </w:r>
    </w:p>
    <w:p w:rsidR="00190E03" w:rsidRDefault="00190E03" w:rsidP="00190E03">
      <w:pPr>
        <w:rPr>
          <w:b/>
          <w:szCs w:val="24"/>
        </w:rPr>
      </w:pPr>
    </w:p>
    <w:p w:rsidR="00190E03" w:rsidRDefault="00190E03" w:rsidP="00190E03">
      <w:pPr>
        <w:rPr>
          <w:b/>
          <w:szCs w:val="24"/>
        </w:rPr>
      </w:pPr>
    </w:p>
    <w:p w:rsidR="00AE2A5F" w:rsidRDefault="009F35E4" w:rsidP="00AE223C">
      <w:pPr>
        <w:jc w:val="center"/>
        <w:rPr>
          <w:b/>
          <w:szCs w:val="24"/>
        </w:rPr>
      </w:pPr>
      <w:r w:rsidRPr="00AE2A5F">
        <w:rPr>
          <w:b/>
          <w:szCs w:val="24"/>
        </w:rPr>
        <w:t>KLAIP</w:t>
      </w:r>
      <w:r w:rsidR="00AE2A5F">
        <w:rPr>
          <w:b/>
          <w:szCs w:val="24"/>
        </w:rPr>
        <w:t>ĖDOS R. PRIEKULĖS VAIKŲ LOPŠELIO-DARŽELIO</w:t>
      </w:r>
    </w:p>
    <w:p w:rsidR="00104913" w:rsidRPr="00AE2A5F" w:rsidRDefault="001C5B00" w:rsidP="009F35E4">
      <w:pPr>
        <w:jc w:val="center"/>
        <w:rPr>
          <w:b/>
          <w:szCs w:val="24"/>
        </w:rPr>
      </w:pPr>
      <w:r>
        <w:rPr>
          <w:b/>
          <w:szCs w:val="24"/>
        </w:rPr>
        <w:t>2013–</w:t>
      </w:r>
      <w:r w:rsidR="00AE2A5F">
        <w:rPr>
          <w:b/>
          <w:szCs w:val="24"/>
        </w:rPr>
        <w:t>2014 MOKSLO METŲ VIDAUS AUDITO ATASKAITOS IŠVADOS IR REKOMENDACIJOS VEIKLAI TOBULINTI</w:t>
      </w:r>
    </w:p>
    <w:p w:rsidR="009F35E4" w:rsidRDefault="009F35E4" w:rsidP="009F35E4">
      <w:pPr>
        <w:jc w:val="center"/>
        <w:rPr>
          <w:b/>
          <w:sz w:val="28"/>
          <w:szCs w:val="28"/>
        </w:rPr>
      </w:pPr>
    </w:p>
    <w:p w:rsidR="00AE2A5F" w:rsidRDefault="00AE2A5F" w:rsidP="009F35E4">
      <w:pPr>
        <w:jc w:val="center"/>
        <w:rPr>
          <w:b/>
          <w:szCs w:val="24"/>
        </w:rPr>
      </w:pPr>
    </w:p>
    <w:p w:rsidR="009F35E4" w:rsidRDefault="009F35E4" w:rsidP="009F35E4">
      <w:pPr>
        <w:rPr>
          <w:b/>
          <w:szCs w:val="24"/>
        </w:rPr>
      </w:pPr>
      <w:r>
        <w:rPr>
          <w:b/>
          <w:szCs w:val="24"/>
        </w:rPr>
        <w:t xml:space="preserve">I. </w:t>
      </w:r>
      <w:r w:rsidR="001A0B5E">
        <w:rPr>
          <w:b/>
          <w:szCs w:val="24"/>
        </w:rPr>
        <w:t>Trumpa mokyklos charakteristika</w:t>
      </w:r>
    </w:p>
    <w:p w:rsidR="009F35E4" w:rsidRDefault="009F35E4" w:rsidP="009F35E4">
      <w:pPr>
        <w:rPr>
          <w:b/>
          <w:szCs w:val="24"/>
        </w:rPr>
      </w:pPr>
    </w:p>
    <w:p w:rsidR="009F35E4" w:rsidRDefault="009F35E4" w:rsidP="00E0227B">
      <w:pPr>
        <w:ind w:firstLine="1296"/>
        <w:rPr>
          <w:szCs w:val="24"/>
        </w:rPr>
      </w:pPr>
      <w:r>
        <w:rPr>
          <w:szCs w:val="24"/>
        </w:rPr>
        <w:t>Įstaigos pavadinimas: Klaipėdos r. Priekulės vaikų lopšelis-darželis</w:t>
      </w:r>
    </w:p>
    <w:p w:rsidR="009F35E4" w:rsidRDefault="009F35E4" w:rsidP="009F35E4">
      <w:pPr>
        <w:rPr>
          <w:szCs w:val="24"/>
        </w:rPr>
      </w:pPr>
    </w:p>
    <w:p w:rsidR="009F35E4" w:rsidRDefault="009F35E4" w:rsidP="00E0227B">
      <w:pPr>
        <w:ind w:firstLine="1296"/>
        <w:rPr>
          <w:szCs w:val="24"/>
        </w:rPr>
      </w:pPr>
      <w:r>
        <w:rPr>
          <w:szCs w:val="24"/>
        </w:rPr>
        <w:t>Adresas: Lietuvininkų g. 11, LT-96341, Priekulė</w:t>
      </w:r>
    </w:p>
    <w:p w:rsidR="009F35E4" w:rsidRDefault="009F35E4" w:rsidP="009F35E4">
      <w:pPr>
        <w:rPr>
          <w:szCs w:val="24"/>
        </w:rPr>
      </w:pPr>
    </w:p>
    <w:p w:rsidR="009F35E4" w:rsidRDefault="009F35E4" w:rsidP="00E0227B">
      <w:pPr>
        <w:ind w:firstLine="1296"/>
        <w:rPr>
          <w:szCs w:val="24"/>
        </w:rPr>
      </w:pPr>
      <w:r>
        <w:rPr>
          <w:szCs w:val="24"/>
        </w:rPr>
        <w:t>Lopšelio-darželio vadovas – direktorė Irena Skrabienė, III vadybinė kategorija</w:t>
      </w:r>
    </w:p>
    <w:p w:rsidR="009F35E4" w:rsidRDefault="009F35E4" w:rsidP="009F35E4">
      <w:pPr>
        <w:rPr>
          <w:szCs w:val="24"/>
        </w:rPr>
      </w:pPr>
    </w:p>
    <w:p w:rsidR="00F400D8" w:rsidRDefault="009F35E4" w:rsidP="00E0227B">
      <w:pPr>
        <w:ind w:firstLine="1296"/>
        <w:jc w:val="both"/>
        <w:rPr>
          <w:szCs w:val="24"/>
        </w:rPr>
      </w:pPr>
      <w:r>
        <w:rPr>
          <w:szCs w:val="24"/>
        </w:rPr>
        <w:t>Lopšelis-darželis vykdo neformaliojo švietimo programą</w:t>
      </w:r>
      <w:r w:rsidR="00E0227B">
        <w:rPr>
          <w:szCs w:val="24"/>
        </w:rPr>
        <w:t>. Ikimokyklinis ugdymas įstaigoje organizuojamas vadovaujantis lopšelio-darželio sukurta „2011-2012-2013-2014 m. m. ikimokyklinio ugdymo programa“</w:t>
      </w:r>
      <w:r w:rsidR="00F400D8">
        <w:rPr>
          <w:szCs w:val="24"/>
        </w:rPr>
        <w:t>.</w:t>
      </w:r>
    </w:p>
    <w:p w:rsidR="007E56D2" w:rsidRDefault="00F400D8" w:rsidP="00E0227B">
      <w:pPr>
        <w:ind w:firstLine="1296"/>
        <w:jc w:val="both"/>
        <w:rPr>
          <w:szCs w:val="24"/>
        </w:rPr>
      </w:pPr>
      <w:r>
        <w:rPr>
          <w:szCs w:val="24"/>
        </w:rPr>
        <w:t>Lopšelis-darželis dalyvauja tarptautinėje vaikų socialinių įgūdžių ugdymo programoje „Zipio draugai“. Nuo 2005 m. dalyvaujame respublikinėje ikimokyklinių įstaigų darbuotojų asociacijos „Sveikatos želmenėliai“ veikloje, nuo 2006 m. vykdome projektą „V. Šerborne judesio vystymo metodas ir jo taikymas praktikoje“. Nuo 2013 m. gruodžio mėnesio esame „Mažojo Princo fondo“ iniciatyvos „Visa Lietuva skaito vaikams“ edukacinės programos „Skaitantys vaikų darželiai“ dalyvis.</w:t>
      </w:r>
    </w:p>
    <w:p w:rsidR="009F35E4" w:rsidRDefault="007E56D2" w:rsidP="00E0227B">
      <w:pPr>
        <w:ind w:firstLine="1296"/>
        <w:jc w:val="both"/>
        <w:rPr>
          <w:szCs w:val="24"/>
        </w:rPr>
      </w:pPr>
      <w:r>
        <w:rPr>
          <w:szCs w:val="24"/>
        </w:rPr>
        <w:t xml:space="preserve">Ugdymas vyksta septyniose ugdymo grupėse: 1 – ankstyvojo amžiaus grupė, 6 – ikimokyklinio ugdymo grupės. Lopšelyje-darželyje ugdomi 136 vaikai. </w:t>
      </w:r>
      <w:r w:rsidR="00E0227B">
        <w:rPr>
          <w:szCs w:val="24"/>
        </w:rPr>
        <w:t xml:space="preserve"> </w:t>
      </w:r>
    </w:p>
    <w:p w:rsidR="00980B4F" w:rsidRDefault="00980B4F" w:rsidP="00E0227B">
      <w:pPr>
        <w:ind w:firstLine="1296"/>
        <w:jc w:val="both"/>
        <w:rPr>
          <w:szCs w:val="24"/>
        </w:rPr>
      </w:pPr>
    </w:p>
    <w:p w:rsidR="00980B4F" w:rsidRDefault="00980B4F" w:rsidP="00E0227B">
      <w:pPr>
        <w:ind w:firstLine="1296"/>
        <w:jc w:val="both"/>
        <w:rPr>
          <w:szCs w:val="24"/>
        </w:rPr>
      </w:pPr>
      <w:r>
        <w:rPr>
          <w:szCs w:val="24"/>
        </w:rPr>
        <w:t>Finansiniai ištekliai: 2013 metais įstaigos biudžietą sudarė 1152,8 tūkst. Lt finansavimas.</w:t>
      </w:r>
      <w:r w:rsidR="000E3E9A">
        <w:rPr>
          <w:szCs w:val="24"/>
        </w:rPr>
        <w:t xml:space="preserve"> Iš jų savivaldybės biudžeto – 581,1 tūkst. Lt, specialiųjų programų lėšos – 147,8 tūkst. LT, moksleivio krepšelio lėšos – 360,9 tūkst. Lt, paramos lėšos 63 tūkst. Lt.</w:t>
      </w:r>
    </w:p>
    <w:p w:rsidR="000E3E9A" w:rsidRDefault="000E3E9A" w:rsidP="00E0227B">
      <w:pPr>
        <w:ind w:firstLine="1296"/>
        <w:jc w:val="both"/>
        <w:rPr>
          <w:szCs w:val="24"/>
        </w:rPr>
      </w:pPr>
    </w:p>
    <w:p w:rsidR="000E3E9A" w:rsidRDefault="000E3E9A" w:rsidP="00E0227B">
      <w:pPr>
        <w:ind w:firstLine="1296"/>
        <w:jc w:val="both"/>
        <w:rPr>
          <w:szCs w:val="24"/>
        </w:rPr>
      </w:pPr>
      <w:r>
        <w:rPr>
          <w:szCs w:val="24"/>
        </w:rPr>
        <w:t>Lopšelyje-darželyje dirba 17 pedagogų (dirbančių pirmaeilėse ir antraeilėse pareigose). Darželiui vadovauj</w:t>
      </w:r>
      <w:r w:rsidR="00922FFD">
        <w:rPr>
          <w:szCs w:val="24"/>
        </w:rPr>
        <w:t>a direktorė</w:t>
      </w:r>
      <w:r>
        <w:rPr>
          <w:szCs w:val="24"/>
        </w:rPr>
        <w:t>, už ugdymą atsakinga direktoriaus pavaduotoja ugdy</w:t>
      </w:r>
      <w:r w:rsidR="00922FFD">
        <w:rPr>
          <w:szCs w:val="24"/>
        </w:rPr>
        <w:t>mui</w:t>
      </w:r>
      <w:r>
        <w:rPr>
          <w:szCs w:val="24"/>
        </w:rPr>
        <w:t>. 10 pedagogų turi vyr. auklėtojos kvalifik</w:t>
      </w:r>
      <w:r w:rsidR="00922FFD">
        <w:rPr>
          <w:szCs w:val="24"/>
        </w:rPr>
        <w:t>aciją, 3 pedagogai neatestuoti. Už meninę veiklą atsakingas meninio ugdymo pedagogas, vaikų sveikata ir maitinimo organizavimu rūpinasi visuomenės sveikatos priežiūros specialistė</w:t>
      </w:r>
      <w:r w:rsidR="001866AE">
        <w:rPr>
          <w:szCs w:val="24"/>
        </w:rPr>
        <w:t>.</w:t>
      </w:r>
    </w:p>
    <w:p w:rsidR="00F34B57" w:rsidRPr="00F34B57" w:rsidRDefault="00F34B57" w:rsidP="00F34B57">
      <w:pPr>
        <w:jc w:val="both"/>
        <w:rPr>
          <w:b/>
          <w:szCs w:val="24"/>
        </w:rPr>
      </w:pPr>
    </w:p>
    <w:p w:rsidR="00F34B57" w:rsidRDefault="00F34B57" w:rsidP="00F34B57">
      <w:pPr>
        <w:jc w:val="both"/>
        <w:rPr>
          <w:b/>
          <w:szCs w:val="24"/>
        </w:rPr>
      </w:pPr>
      <w:r w:rsidRPr="00F34B57">
        <w:rPr>
          <w:b/>
          <w:szCs w:val="24"/>
        </w:rPr>
        <w:t>II</w:t>
      </w:r>
      <w:r>
        <w:rPr>
          <w:b/>
          <w:szCs w:val="24"/>
        </w:rPr>
        <w:t>.</w:t>
      </w:r>
      <w:r w:rsidRPr="00F34B57">
        <w:rPr>
          <w:b/>
          <w:szCs w:val="24"/>
        </w:rPr>
        <w:t xml:space="preserve"> Mokslo metų tik</w:t>
      </w:r>
      <w:r>
        <w:rPr>
          <w:b/>
          <w:szCs w:val="24"/>
        </w:rPr>
        <w:t>slas</w:t>
      </w:r>
      <w:r w:rsidR="001A0B5E">
        <w:rPr>
          <w:b/>
          <w:szCs w:val="24"/>
        </w:rPr>
        <w:t xml:space="preserve"> ir uždaviniai, prioritetai</w:t>
      </w:r>
    </w:p>
    <w:p w:rsidR="00F34B57" w:rsidRDefault="00F34B57" w:rsidP="00F34B57">
      <w:pPr>
        <w:jc w:val="both"/>
        <w:rPr>
          <w:b/>
          <w:szCs w:val="24"/>
        </w:rPr>
      </w:pPr>
    </w:p>
    <w:p w:rsidR="00EE2F5C" w:rsidRDefault="00F34B57" w:rsidP="00F34B57">
      <w:pPr>
        <w:jc w:val="both"/>
        <w:rPr>
          <w:szCs w:val="24"/>
        </w:rPr>
      </w:pPr>
      <w:r>
        <w:rPr>
          <w:b/>
          <w:szCs w:val="24"/>
        </w:rPr>
        <w:tab/>
      </w:r>
      <w:r w:rsidRPr="00F34B57">
        <w:rPr>
          <w:b/>
          <w:szCs w:val="24"/>
        </w:rPr>
        <w:t xml:space="preserve">Tikslas </w:t>
      </w:r>
      <w:r>
        <w:rPr>
          <w:szCs w:val="24"/>
        </w:rPr>
        <w:t>– plėtoti darželio ir šeimos partnerystę, stiprinti vaikų sveikatą, skatinti kūrybiškumą ir užtikrinti kokybišką, visapusišką ugdymą.</w:t>
      </w:r>
    </w:p>
    <w:p w:rsidR="00190E03" w:rsidRDefault="00190E03" w:rsidP="00F34B57">
      <w:pPr>
        <w:jc w:val="both"/>
        <w:rPr>
          <w:szCs w:val="24"/>
        </w:rPr>
      </w:pPr>
    </w:p>
    <w:p w:rsidR="00F34B57" w:rsidRDefault="00F34B57" w:rsidP="00F34B57">
      <w:pPr>
        <w:jc w:val="both"/>
        <w:rPr>
          <w:b/>
          <w:szCs w:val="24"/>
        </w:rPr>
      </w:pPr>
      <w:r>
        <w:rPr>
          <w:szCs w:val="24"/>
        </w:rPr>
        <w:lastRenderedPageBreak/>
        <w:tab/>
      </w:r>
      <w:r w:rsidRPr="00F34B57">
        <w:rPr>
          <w:b/>
          <w:szCs w:val="24"/>
        </w:rPr>
        <w:t>Uždaviniai:</w:t>
      </w:r>
    </w:p>
    <w:p w:rsidR="00F34B57" w:rsidRDefault="00F34B57" w:rsidP="00F34B57">
      <w:pPr>
        <w:pStyle w:val="ListParagraph"/>
        <w:numPr>
          <w:ilvl w:val="0"/>
          <w:numId w:val="2"/>
        </w:numPr>
        <w:jc w:val="both"/>
        <w:rPr>
          <w:szCs w:val="24"/>
        </w:rPr>
      </w:pPr>
      <w:r>
        <w:rPr>
          <w:szCs w:val="24"/>
        </w:rPr>
        <w:t>Siekti ugdymo turinio kokybės ir tęstinumo kasdienės veiklos planavime.</w:t>
      </w:r>
    </w:p>
    <w:p w:rsidR="00F34B57" w:rsidRDefault="00F34B57" w:rsidP="00F34B57">
      <w:pPr>
        <w:pStyle w:val="ListParagraph"/>
        <w:numPr>
          <w:ilvl w:val="0"/>
          <w:numId w:val="2"/>
        </w:numPr>
        <w:jc w:val="both"/>
        <w:rPr>
          <w:szCs w:val="24"/>
        </w:rPr>
      </w:pPr>
      <w:r>
        <w:rPr>
          <w:szCs w:val="24"/>
        </w:rPr>
        <w:t>Stiprinti pagalbą</w:t>
      </w:r>
      <w:r w:rsidR="00F46E7A">
        <w:rPr>
          <w:szCs w:val="24"/>
        </w:rPr>
        <w:t xml:space="preserve"> </w:t>
      </w:r>
      <w:r>
        <w:rPr>
          <w:szCs w:val="24"/>
        </w:rPr>
        <w:t>ir paramą šeimai, taikant bendradarbiavimo būdus ir formas.</w:t>
      </w:r>
    </w:p>
    <w:p w:rsidR="00F34B57" w:rsidRDefault="00763D09" w:rsidP="00763D09">
      <w:pPr>
        <w:pStyle w:val="ListParagraph"/>
        <w:numPr>
          <w:ilvl w:val="0"/>
          <w:numId w:val="2"/>
        </w:numPr>
        <w:jc w:val="both"/>
        <w:rPr>
          <w:szCs w:val="24"/>
        </w:rPr>
      </w:pPr>
      <w:r>
        <w:rPr>
          <w:szCs w:val="24"/>
        </w:rPr>
        <w:t>Plėtoti ugdytinių kompetencijų raišką, formuoti sveikos ir saugios</w:t>
      </w:r>
      <w:r w:rsidR="00F46E7A">
        <w:rPr>
          <w:szCs w:val="24"/>
        </w:rPr>
        <w:t xml:space="preserve"> </w:t>
      </w:r>
      <w:r>
        <w:rPr>
          <w:szCs w:val="24"/>
        </w:rPr>
        <w:t>gyvensenos įgūdžius.</w:t>
      </w:r>
    </w:p>
    <w:p w:rsidR="00763D09" w:rsidRDefault="00763D09" w:rsidP="00763D09">
      <w:pPr>
        <w:jc w:val="both"/>
        <w:rPr>
          <w:szCs w:val="24"/>
        </w:rPr>
      </w:pPr>
    </w:p>
    <w:p w:rsidR="009D1EEB" w:rsidRDefault="009D1EEB" w:rsidP="009D1EEB">
      <w:pPr>
        <w:ind w:left="1290"/>
        <w:jc w:val="both"/>
        <w:rPr>
          <w:b/>
          <w:szCs w:val="24"/>
        </w:rPr>
      </w:pPr>
      <w:r w:rsidRPr="009D1EEB">
        <w:rPr>
          <w:b/>
          <w:szCs w:val="24"/>
        </w:rPr>
        <w:t>Prioritetai:</w:t>
      </w:r>
    </w:p>
    <w:p w:rsidR="009D1EEB" w:rsidRDefault="009D1EEB" w:rsidP="009D1EEB">
      <w:pPr>
        <w:pStyle w:val="ListParagraph"/>
        <w:numPr>
          <w:ilvl w:val="0"/>
          <w:numId w:val="3"/>
        </w:numPr>
        <w:jc w:val="both"/>
        <w:rPr>
          <w:szCs w:val="24"/>
        </w:rPr>
      </w:pPr>
      <w:r>
        <w:rPr>
          <w:szCs w:val="24"/>
        </w:rPr>
        <w:t>Sveikatos saugojimas ir stiprinimas.</w:t>
      </w:r>
    </w:p>
    <w:p w:rsidR="009D1EEB" w:rsidRDefault="009D1EEB" w:rsidP="009D1EEB">
      <w:pPr>
        <w:pStyle w:val="ListParagraph"/>
        <w:numPr>
          <w:ilvl w:val="0"/>
          <w:numId w:val="3"/>
        </w:numPr>
        <w:jc w:val="both"/>
        <w:rPr>
          <w:szCs w:val="24"/>
        </w:rPr>
      </w:pPr>
      <w:r>
        <w:rPr>
          <w:szCs w:val="24"/>
        </w:rPr>
        <w:t>Bendradarbiavimas su šeima.</w:t>
      </w:r>
    </w:p>
    <w:p w:rsidR="009D1EEB" w:rsidRDefault="009D1EEB" w:rsidP="009D1EEB">
      <w:pPr>
        <w:jc w:val="both"/>
        <w:rPr>
          <w:szCs w:val="24"/>
        </w:rPr>
      </w:pPr>
    </w:p>
    <w:p w:rsidR="009D1EEB" w:rsidRDefault="00B6224D" w:rsidP="001A0B5E">
      <w:pPr>
        <w:ind w:firstLine="1290"/>
        <w:jc w:val="both"/>
        <w:rPr>
          <w:szCs w:val="24"/>
        </w:rPr>
      </w:pPr>
      <w:r>
        <w:rPr>
          <w:szCs w:val="24"/>
        </w:rPr>
        <w:t>2013–</w:t>
      </w:r>
      <w:r w:rsidR="001A0B5E" w:rsidRPr="001A0B5E">
        <w:rPr>
          <w:szCs w:val="24"/>
        </w:rPr>
        <w:t>2014 m. m. veiklos koky</w:t>
      </w:r>
      <w:r w:rsidR="00876308">
        <w:rPr>
          <w:szCs w:val="24"/>
        </w:rPr>
        <w:t>bės įsivertinimas atliktas vadovaujantis</w:t>
      </w:r>
      <w:r w:rsidR="001A0B5E" w:rsidRPr="001A0B5E">
        <w:rPr>
          <w:szCs w:val="24"/>
        </w:rPr>
        <w:t xml:space="preserve"> Klaipėdos rajono savivaldybės administracijos Švietimo sk</w:t>
      </w:r>
      <w:r w:rsidR="001C5B00">
        <w:rPr>
          <w:szCs w:val="24"/>
        </w:rPr>
        <w:t>yriaus vedėjo</w:t>
      </w:r>
      <w:r w:rsidR="001A0B5E" w:rsidRPr="001A0B5E">
        <w:rPr>
          <w:szCs w:val="24"/>
        </w:rPr>
        <w:t xml:space="preserve"> patvi</w:t>
      </w:r>
      <w:r w:rsidR="009E2944">
        <w:rPr>
          <w:szCs w:val="24"/>
        </w:rPr>
        <w:t>rtintu</w:t>
      </w:r>
      <w:r w:rsidR="001A0B5E" w:rsidRPr="001A0B5E">
        <w:rPr>
          <w:szCs w:val="24"/>
        </w:rPr>
        <w:t xml:space="preserve"> „Neformaliojo švietimo mokyklos veiklos kokybės į</w:t>
      </w:r>
      <w:r w:rsidR="009E2944">
        <w:rPr>
          <w:szCs w:val="24"/>
        </w:rPr>
        <w:t>sivertinimo rekomendacijų aprašu</w:t>
      </w:r>
      <w:r w:rsidR="001A0B5E" w:rsidRPr="001A0B5E">
        <w:rPr>
          <w:szCs w:val="24"/>
        </w:rPr>
        <w:t>“</w:t>
      </w:r>
      <w:r w:rsidR="001C5B00">
        <w:rPr>
          <w:szCs w:val="24"/>
        </w:rPr>
        <w:t xml:space="preserve"> (2013-09-17 Nr. V-61)</w:t>
      </w:r>
      <w:r w:rsidR="001A0B5E" w:rsidRPr="001A0B5E">
        <w:rPr>
          <w:szCs w:val="24"/>
        </w:rPr>
        <w:t>.</w:t>
      </w:r>
    </w:p>
    <w:p w:rsidR="001A0B5E" w:rsidRDefault="001A0B5E" w:rsidP="001A0B5E">
      <w:pPr>
        <w:jc w:val="both"/>
        <w:rPr>
          <w:szCs w:val="24"/>
        </w:rPr>
      </w:pPr>
    </w:p>
    <w:p w:rsidR="001A0B5E" w:rsidRDefault="001A0B5E" w:rsidP="001A0B5E">
      <w:pPr>
        <w:jc w:val="both"/>
        <w:rPr>
          <w:b/>
          <w:szCs w:val="24"/>
        </w:rPr>
      </w:pPr>
      <w:r w:rsidRPr="001A0B5E">
        <w:rPr>
          <w:b/>
          <w:szCs w:val="24"/>
        </w:rPr>
        <w:t xml:space="preserve">III. </w:t>
      </w:r>
      <w:r w:rsidR="00B77E5B">
        <w:rPr>
          <w:b/>
          <w:szCs w:val="24"/>
        </w:rPr>
        <w:t>Įstaigos veiklos kokybės įsivertinimas vyko šiais etapais:</w:t>
      </w:r>
    </w:p>
    <w:p w:rsidR="00B77E5B" w:rsidRDefault="00B77E5B" w:rsidP="001A0B5E">
      <w:pPr>
        <w:jc w:val="both"/>
        <w:rPr>
          <w:b/>
          <w:szCs w:val="24"/>
        </w:rPr>
      </w:pPr>
    </w:p>
    <w:p w:rsidR="00B77E5B" w:rsidRPr="00B77E5B" w:rsidRDefault="00B77E5B" w:rsidP="00B77E5B">
      <w:pPr>
        <w:pStyle w:val="ListParagraph"/>
        <w:numPr>
          <w:ilvl w:val="0"/>
          <w:numId w:val="4"/>
        </w:numPr>
        <w:jc w:val="both"/>
        <w:rPr>
          <w:szCs w:val="24"/>
        </w:rPr>
      </w:pPr>
      <w:r w:rsidRPr="00B77E5B">
        <w:rPr>
          <w:szCs w:val="24"/>
        </w:rPr>
        <w:t>et</w:t>
      </w:r>
      <w:r>
        <w:rPr>
          <w:szCs w:val="24"/>
        </w:rPr>
        <w:t>apas – pasirengimas įsivertinti.</w:t>
      </w:r>
    </w:p>
    <w:p w:rsidR="00B77E5B" w:rsidRDefault="00B77E5B" w:rsidP="00B77E5B">
      <w:pPr>
        <w:pStyle w:val="ListParagraph"/>
        <w:numPr>
          <w:ilvl w:val="0"/>
          <w:numId w:val="4"/>
        </w:numPr>
        <w:jc w:val="both"/>
        <w:rPr>
          <w:szCs w:val="24"/>
        </w:rPr>
      </w:pPr>
      <w:r>
        <w:rPr>
          <w:szCs w:val="24"/>
        </w:rPr>
        <w:t>etapas – „Platusis“ įsivertinimas;</w:t>
      </w:r>
    </w:p>
    <w:p w:rsidR="00B77E5B" w:rsidRDefault="00B77E5B" w:rsidP="00B77E5B">
      <w:pPr>
        <w:pStyle w:val="ListParagraph"/>
        <w:numPr>
          <w:ilvl w:val="0"/>
          <w:numId w:val="4"/>
        </w:numPr>
        <w:jc w:val="both"/>
        <w:rPr>
          <w:szCs w:val="24"/>
        </w:rPr>
      </w:pPr>
      <w:r>
        <w:rPr>
          <w:szCs w:val="24"/>
        </w:rPr>
        <w:t>etapas – pasirinktos srities pagalbinio rodiklio giluminis nagrinėjimas ir įsivertinimas.</w:t>
      </w:r>
    </w:p>
    <w:p w:rsidR="00B77E5B" w:rsidRDefault="00B77E5B" w:rsidP="00B77E5B">
      <w:pPr>
        <w:pStyle w:val="ListParagraph"/>
        <w:numPr>
          <w:ilvl w:val="0"/>
          <w:numId w:val="4"/>
        </w:numPr>
        <w:jc w:val="both"/>
        <w:rPr>
          <w:szCs w:val="24"/>
        </w:rPr>
      </w:pPr>
      <w:r>
        <w:rPr>
          <w:szCs w:val="24"/>
        </w:rPr>
        <w:t>etapas – atsiskaitymas apie atliktas vertinimo procedūras ir informavimas apie gautas išvadas.</w:t>
      </w:r>
    </w:p>
    <w:p w:rsidR="00B77E5B" w:rsidRDefault="00B77E5B" w:rsidP="00B77E5B">
      <w:pPr>
        <w:pStyle w:val="ListParagraph"/>
        <w:numPr>
          <w:ilvl w:val="0"/>
          <w:numId w:val="4"/>
        </w:numPr>
        <w:jc w:val="both"/>
        <w:rPr>
          <w:szCs w:val="24"/>
        </w:rPr>
      </w:pPr>
      <w:r>
        <w:rPr>
          <w:szCs w:val="24"/>
        </w:rPr>
        <w:t>etapas – rezultatų panaudojimas tolesnės veiklos tobulinimui planuoti.</w:t>
      </w:r>
    </w:p>
    <w:p w:rsidR="00B77E5B" w:rsidRDefault="00B77E5B" w:rsidP="00B77E5B">
      <w:pPr>
        <w:jc w:val="both"/>
        <w:rPr>
          <w:szCs w:val="24"/>
        </w:rPr>
      </w:pPr>
    </w:p>
    <w:p w:rsidR="00B77E5B" w:rsidRDefault="00A92AFB" w:rsidP="00B77E5B">
      <w:pPr>
        <w:jc w:val="both"/>
        <w:rPr>
          <w:b/>
          <w:szCs w:val="24"/>
        </w:rPr>
      </w:pPr>
      <w:r w:rsidRPr="00A92AFB">
        <w:rPr>
          <w:b/>
          <w:szCs w:val="24"/>
        </w:rPr>
        <w:t>IV. „Plačiojo“ audito rezultatai</w:t>
      </w:r>
    </w:p>
    <w:p w:rsidR="00A92AFB" w:rsidRDefault="00A92AFB" w:rsidP="00B77E5B">
      <w:pPr>
        <w:jc w:val="both"/>
        <w:rPr>
          <w:b/>
          <w:szCs w:val="24"/>
        </w:rPr>
      </w:pPr>
    </w:p>
    <w:p w:rsidR="00876308" w:rsidRDefault="00876308" w:rsidP="00876308">
      <w:pPr>
        <w:jc w:val="right"/>
        <w:rPr>
          <w:szCs w:val="24"/>
        </w:rPr>
      </w:pPr>
      <w:r>
        <w:rPr>
          <w:szCs w:val="24"/>
        </w:rPr>
        <w:t>1 lentelė</w:t>
      </w:r>
    </w:p>
    <w:tbl>
      <w:tblPr>
        <w:tblStyle w:val="TableGrid"/>
        <w:tblW w:w="0" w:type="auto"/>
        <w:tblLayout w:type="fixed"/>
        <w:tblLook w:val="04A0"/>
      </w:tblPr>
      <w:tblGrid>
        <w:gridCol w:w="1275"/>
        <w:gridCol w:w="1385"/>
        <w:gridCol w:w="1417"/>
        <w:gridCol w:w="1276"/>
        <w:gridCol w:w="1418"/>
        <w:gridCol w:w="1559"/>
        <w:gridCol w:w="1524"/>
      </w:tblGrid>
      <w:tr w:rsidR="00876308" w:rsidTr="00381135">
        <w:tc>
          <w:tcPr>
            <w:tcW w:w="9854" w:type="dxa"/>
            <w:gridSpan w:val="7"/>
          </w:tcPr>
          <w:p w:rsidR="00876308" w:rsidRPr="00876308" w:rsidRDefault="00876308" w:rsidP="00876308">
            <w:pPr>
              <w:jc w:val="center"/>
              <w:rPr>
                <w:b/>
                <w:szCs w:val="24"/>
              </w:rPr>
            </w:pPr>
            <w:r w:rsidRPr="00876308">
              <w:rPr>
                <w:b/>
                <w:szCs w:val="24"/>
              </w:rPr>
              <w:t>Mokyklos veiklos kokybės įsivertinimas naudojant keturių lygių skalę</w:t>
            </w:r>
          </w:p>
          <w:p w:rsidR="00876308" w:rsidRDefault="00876308" w:rsidP="00876308">
            <w:pPr>
              <w:rPr>
                <w:szCs w:val="24"/>
              </w:rPr>
            </w:pPr>
          </w:p>
        </w:tc>
      </w:tr>
      <w:tr w:rsidR="00876308" w:rsidTr="00381135">
        <w:tc>
          <w:tcPr>
            <w:tcW w:w="2660" w:type="dxa"/>
            <w:gridSpan w:val="2"/>
          </w:tcPr>
          <w:p w:rsidR="00876308" w:rsidRPr="00876308" w:rsidRDefault="00876308" w:rsidP="007013D9">
            <w:pPr>
              <w:jc w:val="center"/>
              <w:rPr>
                <w:b/>
                <w:szCs w:val="24"/>
              </w:rPr>
            </w:pPr>
            <w:r w:rsidRPr="00876308">
              <w:rPr>
                <w:b/>
                <w:szCs w:val="24"/>
              </w:rPr>
              <w:t>Veiklos sritys</w:t>
            </w:r>
          </w:p>
        </w:tc>
        <w:tc>
          <w:tcPr>
            <w:tcW w:w="2693" w:type="dxa"/>
            <w:gridSpan w:val="2"/>
          </w:tcPr>
          <w:p w:rsidR="00876308" w:rsidRPr="00876308" w:rsidRDefault="00876308" w:rsidP="007013D9">
            <w:pPr>
              <w:jc w:val="center"/>
              <w:rPr>
                <w:b/>
                <w:szCs w:val="24"/>
              </w:rPr>
            </w:pPr>
            <w:r w:rsidRPr="00876308">
              <w:rPr>
                <w:b/>
                <w:szCs w:val="24"/>
              </w:rPr>
              <w:t>Veiklos rodikliai</w:t>
            </w:r>
          </w:p>
        </w:tc>
        <w:tc>
          <w:tcPr>
            <w:tcW w:w="2977" w:type="dxa"/>
            <w:gridSpan w:val="2"/>
          </w:tcPr>
          <w:p w:rsidR="00876308" w:rsidRPr="00876308" w:rsidRDefault="00876308" w:rsidP="007013D9">
            <w:pPr>
              <w:jc w:val="center"/>
              <w:rPr>
                <w:b/>
                <w:szCs w:val="24"/>
              </w:rPr>
            </w:pPr>
            <w:r w:rsidRPr="00876308">
              <w:rPr>
                <w:b/>
                <w:szCs w:val="24"/>
              </w:rPr>
              <w:t>Pagalbiniai rodikliai</w:t>
            </w:r>
          </w:p>
        </w:tc>
        <w:tc>
          <w:tcPr>
            <w:tcW w:w="1524" w:type="dxa"/>
            <w:vMerge w:val="restart"/>
          </w:tcPr>
          <w:p w:rsidR="00876308" w:rsidRDefault="00876308" w:rsidP="00876308">
            <w:pPr>
              <w:rPr>
                <w:szCs w:val="24"/>
              </w:rPr>
            </w:pPr>
            <w:r w:rsidRPr="00876308">
              <w:rPr>
                <w:b/>
                <w:szCs w:val="24"/>
              </w:rPr>
              <w:t>Giluminiam auditui atlikti pasirinkti veiklos rodikliai</w:t>
            </w:r>
            <w:r>
              <w:rPr>
                <w:szCs w:val="24"/>
              </w:rPr>
              <w:t xml:space="preserve"> (veiklos problemos)</w:t>
            </w:r>
          </w:p>
          <w:p w:rsidR="00876308" w:rsidRDefault="00876308" w:rsidP="00876308">
            <w:pPr>
              <w:rPr>
                <w:szCs w:val="24"/>
              </w:rPr>
            </w:pPr>
          </w:p>
        </w:tc>
      </w:tr>
      <w:tr w:rsidR="00381135" w:rsidTr="00381135">
        <w:tc>
          <w:tcPr>
            <w:tcW w:w="1275" w:type="dxa"/>
          </w:tcPr>
          <w:p w:rsidR="00876308" w:rsidRPr="00381135" w:rsidRDefault="00876308" w:rsidP="00876308">
            <w:pPr>
              <w:rPr>
                <w:sz w:val="22"/>
              </w:rPr>
            </w:pPr>
            <w:r w:rsidRPr="00381135">
              <w:rPr>
                <w:sz w:val="22"/>
              </w:rPr>
              <w:t>Geriausiai įsivertintos veiklos sritys</w:t>
            </w:r>
          </w:p>
          <w:p w:rsidR="00876308" w:rsidRPr="00381135" w:rsidRDefault="00876308" w:rsidP="00876308">
            <w:pPr>
              <w:rPr>
                <w:sz w:val="22"/>
              </w:rPr>
            </w:pPr>
          </w:p>
        </w:tc>
        <w:tc>
          <w:tcPr>
            <w:tcW w:w="1385" w:type="dxa"/>
          </w:tcPr>
          <w:p w:rsidR="00876308" w:rsidRPr="00381135" w:rsidRDefault="00876308" w:rsidP="00876308">
            <w:pPr>
              <w:rPr>
                <w:sz w:val="22"/>
              </w:rPr>
            </w:pPr>
            <w:r w:rsidRPr="00381135">
              <w:rPr>
                <w:sz w:val="22"/>
              </w:rPr>
              <w:t>Silpniausiai įsivertintos veiklos sritys</w:t>
            </w:r>
          </w:p>
        </w:tc>
        <w:tc>
          <w:tcPr>
            <w:tcW w:w="1417" w:type="dxa"/>
          </w:tcPr>
          <w:p w:rsidR="00876308" w:rsidRPr="00381135" w:rsidRDefault="00876308" w:rsidP="00876308">
            <w:pPr>
              <w:rPr>
                <w:sz w:val="22"/>
              </w:rPr>
            </w:pPr>
            <w:r w:rsidRPr="00381135">
              <w:rPr>
                <w:sz w:val="22"/>
              </w:rPr>
              <w:t>Geriausiai įsivertintos veiklos temos</w:t>
            </w:r>
          </w:p>
        </w:tc>
        <w:tc>
          <w:tcPr>
            <w:tcW w:w="1276" w:type="dxa"/>
          </w:tcPr>
          <w:p w:rsidR="00876308" w:rsidRPr="00381135" w:rsidRDefault="00876308" w:rsidP="00876308">
            <w:pPr>
              <w:rPr>
                <w:sz w:val="22"/>
              </w:rPr>
            </w:pPr>
            <w:r w:rsidRPr="00381135">
              <w:rPr>
                <w:sz w:val="22"/>
              </w:rPr>
              <w:t>Silpniausiai įsivertintos veiklos temos</w:t>
            </w:r>
          </w:p>
        </w:tc>
        <w:tc>
          <w:tcPr>
            <w:tcW w:w="1418" w:type="dxa"/>
          </w:tcPr>
          <w:p w:rsidR="00876308" w:rsidRPr="00381135" w:rsidRDefault="00876308" w:rsidP="00876308">
            <w:pPr>
              <w:rPr>
                <w:sz w:val="22"/>
              </w:rPr>
            </w:pPr>
            <w:r w:rsidRPr="00381135">
              <w:rPr>
                <w:sz w:val="22"/>
              </w:rPr>
              <w:t>Stipriausi veiklos rodikliai</w:t>
            </w:r>
          </w:p>
        </w:tc>
        <w:tc>
          <w:tcPr>
            <w:tcW w:w="1559" w:type="dxa"/>
          </w:tcPr>
          <w:p w:rsidR="00876308" w:rsidRPr="00381135" w:rsidRDefault="00876308" w:rsidP="00876308">
            <w:pPr>
              <w:rPr>
                <w:sz w:val="22"/>
              </w:rPr>
            </w:pPr>
            <w:r w:rsidRPr="00381135">
              <w:rPr>
                <w:sz w:val="22"/>
              </w:rPr>
              <w:t>Silpniausi veiklos rodikliai</w:t>
            </w:r>
          </w:p>
        </w:tc>
        <w:tc>
          <w:tcPr>
            <w:tcW w:w="1524" w:type="dxa"/>
            <w:vMerge/>
          </w:tcPr>
          <w:p w:rsidR="00876308" w:rsidRPr="00381135" w:rsidRDefault="00876308" w:rsidP="00876308">
            <w:pPr>
              <w:rPr>
                <w:sz w:val="22"/>
              </w:rPr>
            </w:pPr>
          </w:p>
        </w:tc>
      </w:tr>
      <w:tr w:rsidR="00381135" w:rsidTr="00381135">
        <w:tc>
          <w:tcPr>
            <w:tcW w:w="1275" w:type="dxa"/>
          </w:tcPr>
          <w:p w:rsidR="00876308" w:rsidRPr="00381135" w:rsidRDefault="00876308" w:rsidP="00876308">
            <w:pPr>
              <w:rPr>
                <w:i/>
                <w:sz w:val="22"/>
              </w:rPr>
            </w:pPr>
            <w:r w:rsidRPr="00381135">
              <w:rPr>
                <w:i/>
                <w:sz w:val="22"/>
              </w:rPr>
              <w:t>1</w:t>
            </w:r>
          </w:p>
        </w:tc>
        <w:tc>
          <w:tcPr>
            <w:tcW w:w="1385" w:type="dxa"/>
          </w:tcPr>
          <w:p w:rsidR="00876308" w:rsidRPr="00381135" w:rsidRDefault="00876308" w:rsidP="00876308">
            <w:pPr>
              <w:rPr>
                <w:i/>
                <w:sz w:val="22"/>
              </w:rPr>
            </w:pPr>
            <w:r w:rsidRPr="00381135">
              <w:rPr>
                <w:i/>
                <w:sz w:val="22"/>
              </w:rPr>
              <w:t>2</w:t>
            </w:r>
          </w:p>
        </w:tc>
        <w:tc>
          <w:tcPr>
            <w:tcW w:w="1417" w:type="dxa"/>
          </w:tcPr>
          <w:p w:rsidR="00876308" w:rsidRPr="00381135" w:rsidRDefault="00876308" w:rsidP="00876308">
            <w:pPr>
              <w:rPr>
                <w:i/>
                <w:sz w:val="22"/>
              </w:rPr>
            </w:pPr>
            <w:r w:rsidRPr="00381135">
              <w:rPr>
                <w:i/>
                <w:sz w:val="22"/>
              </w:rPr>
              <w:t>3</w:t>
            </w:r>
          </w:p>
        </w:tc>
        <w:tc>
          <w:tcPr>
            <w:tcW w:w="1276" w:type="dxa"/>
          </w:tcPr>
          <w:p w:rsidR="00876308" w:rsidRPr="00381135" w:rsidRDefault="00876308" w:rsidP="00876308">
            <w:pPr>
              <w:rPr>
                <w:i/>
                <w:sz w:val="22"/>
              </w:rPr>
            </w:pPr>
            <w:r w:rsidRPr="00381135">
              <w:rPr>
                <w:i/>
                <w:sz w:val="22"/>
              </w:rPr>
              <w:t>4</w:t>
            </w:r>
          </w:p>
        </w:tc>
        <w:tc>
          <w:tcPr>
            <w:tcW w:w="1418" w:type="dxa"/>
          </w:tcPr>
          <w:p w:rsidR="00876308" w:rsidRPr="00381135" w:rsidRDefault="00876308" w:rsidP="00876308">
            <w:pPr>
              <w:rPr>
                <w:i/>
                <w:sz w:val="22"/>
              </w:rPr>
            </w:pPr>
            <w:r w:rsidRPr="00381135">
              <w:rPr>
                <w:i/>
                <w:sz w:val="22"/>
              </w:rPr>
              <w:t>5</w:t>
            </w:r>
          </w:p>
        </w:tc>
        <w:tc>
          <w:tcPr>
            <w:tcW w:w="1559" w:type="dxa"/>
          </w:tcPr>
          <w:p w:rsidR="00876308" w:rsidRPr="00381135" w:rsidRDefault="00876308" w:rsidP="00876308">
            <w:pPr>
              <w:rPr>
                <w:i/>
                <w:sz w:val="22"/>
              </w:rPr>
            </w:pPr>
            <w:r w:rsidRPr="00381135">
              <w:rPr>
                <w:i/>
                <w:sz w:val="22"/>
              </w:rPr>
              <w:t>6</w:t>
            </w:r>
          </w:p>
        </w:tc>
        <w:tc>
          <w:tcPr>
            <w:tcW w:w="1524" w:type="dxa"/>
          </w:tcPr>
          <w:p w:rsidR="00876308" w:rsidRPr="00381135" w:rsidRDefault="00876308" w:rsidP="00876308">
            <w:pPr>
              <w:rPr>
                <w:i/>
                <w:sz w:val="22"/>
              </w:rPr>
            </w:pPr>
            <w:r w:rsidRPr="00381135">
              <w:rPr>
                <w:i/>
                <w:sz w:val="22"/>
              </w:rPr>
              <w:t>7</w:t>
            </w:r>
          </w:p>
        </w:tc>
      </w:tr>
      <w:tr w:rsidR="00381135" w:rsidTr="00381135">
        <w:tc>
          <w:tcPr>
            <w:tcW w:w="1275" w:type="dxa"/>
          </w:tcPr>
          <w:p w:rsidR="00876308" w:rsidRPr="00381135" w:rsidRDefault="000C5B82" w:rsidP="00876308">
            <w:pPr>
              <w:rPr>
                <w:sz w:val="22"/>
              </w:rPr>
            </w:pPr>
            <w:r w:rsidRPr="00381135">
              <w:rPr>
                <w:sz w:val="22"/>
              </w:rPr>
              <w:t>5. IUM valdymas</w:t>
            </w:r>
          </w:p>
          <w:p w:rsidR="000C5B82" w:rsidRPr="00381135" w:rsidRDefault="000C5B82" w:rsidP="00876308">
            <w:pPr>
              <w:rPr>
                <w:sz w:val="22"/>
              </w:rPr>
            </w:pPr>
          </w:p>
          <w:p w:rsidR="000C5B82" w:rsidRPr="00381135" w:rsidRDefault="000C5B82" w:rsidP="00876308">
            <w:pPr>
              <w:rPr>
                <w:sz w:val="22"/>
              </w:rPr>
            </w:pPr>
          </w:p>
          <w:p w:rsidR="000C5B82" w:rsidRPr="00381135" w:rsidRDefault="000C5B82" w:rsidP="00876308">
            <w:pPr>
              <w:rPr>
                <w:sz w:val="22"/>
              </w:rPr>
            </w:pPr>
          </w:p>
          <w:p w:rsidR="000C5B82" w:rsidRPr="00381135" w:rsidRDefault="000C5B82" w:rsidP="00876308">
            <w:pPr>
              <w:rPr>
                <w:sz w:val="22"/>
              </w:rPr>
            </w:pPr>
            <w:r w:rsidRPr="00381135">
              <w:rPr>
                <w:sz w:val="22"/>
              </w:rPr>
              <w:t>4. Parama ir pagalba šeimai</w:t>
            </w:r>
          </w:p>
          <w:p w:rsidR="00876308" w:rsidRPr="00381135" w:rsidRDefault="00876308" w:rsidP="00876308">
            <w:pPr>
              <w:rPr>
                <w:sz w:val="22"/>
              </w:rPr>
            </w:pPr>
          </w:p>
        </w:tc>
        <w:tc>
          <w:tcPr>
            <w:tcW w:w="1385" w:type="dxa"/>
          </w:tcPr>
          <w:p w:rsidR="00876308" w:rsidRPr="00381135" w:rsidRDefault="000C5B82" w:rsidP="00876308">
            <w:pPr>
              <w:rPr>
                <w:sz w:val="22"/>
              </w:rPr>
            </w:pPr>
            <w:r w:rsidRPr="00381135">
              <w:rPr>
                <w:sz w:val="22"/>
              </w:rPr>
              <w:t>1. IUM kultūra</w:t>
            </w:r>
          </w:p>
        </w:tc>
        <w:tc>
          <w:tcPr>
            <w:tcW w:w="1417" w:type="dxa"/>
          </w:tcPr>
          <w:p w:rsidR="00876308" w:rsidRPr="00381135" w:rsidRDefault="000C5B82" w:rsidP="00876308">
            <w:pPr>
              <w:rPr>
                <w:sz w:val="22"/>
              </w:rPr>
            </w:pPr>
            <w:r w:rsidRPr="00381135">
              <w:rPr>
                <w:sz w:val="22"/>
              </w:rPr>
              <w:t>5.4. Materialinių išteklių valdymas</w:t>
            </w:r>
          </w:p>
          <w:p w:rsidR="000C5B82" w:rsidRPr="00381135" w:rsidRDefault="000C5B82" w:rsidP="00876308">
            <w:pPr>
              <w:rPr>
                <w:sz w:val="22"/>
              </w:rPr>
            </w:pPr>
          </w:p>
          <w:p w:rsidR="000C5B82" w:rsidRPr="00381135" w:rsidRDefault="000C5B82" w:rsidP="00876308">
            <w:pPr>
              <w:rPr>
                <w:sz w:val="22"/>
              </w:rPr>
            </w:pPr>
            <w:r w:rsidRPr="00381135">
              <w:rPr>
                <w:sz w:val="22"/>
              </w:rPr>
              <w:t>4.2. Vaiko poreikių tenkinimas</w:t>
            </w:r>
          </w:p>
        </w:tc>
        <w:tc>
          <w:tcPr>
            <w:tcW w:w="1276" w:type="dxa"/>
          </w:tcPr>
          <w:p w:rsidR="00876308" w:rsidRPr="00381135" w:rsidRDefault="00381135" w:rsidP="00876308">
            <w:pPr>
              <w:rPr>
                <w:sz w:val="22"/>
              </w:rPr>
            </w:pPr>
            <w:r w:rsidRPr="00381135">
              <w:rPr>
                <w:sz w:val="22"/>
              </w:rPr>
              <w:t>1.1. Etosas</w:t>
            </w:r>
          </w:p>
        </w:tc>
        <w:tc>
          <w:tcPr>
            <w:tcW w:w="1418" w:type="dxa"/>
          </w:tcPr>
          <w:p w:rsidR="00876308" w:rsidRPr="00381135" w:rsidRDefault="00381135" w:rsidP="00876308">
            <w:pPr>
              <w:rPr>
                <w:sz w:val="22"/>
              </w:rPr>
            </w:pPr>
            <w:r w:rsidRPr="00381135">
              <w:rPr>
                <w:sz w:val="22"/>
              </w:rPr>
              <w:t>5.4.2. Patalpų naudojimas</w:t>
            </w:r>
          </w:p>
          <w:p w:rsidR="00381135" w:rsidRPr="00381135" w:rsidRDefault="00381135" w:rsidP="00876308">
            <w:pPr>
              <w:rPr>
                <w:sz w:val="22"/>
              </w:rPr>
            </w:pPr>
          </w:p>
          <w:p w:rsidR="00381135" w:rsidRPr="00381135" w:rsidRDefault="00381135" w:rsidP="00876308">
            <w:pPr>
              <w:rPr>
                <w:sz w:val="22"/>
              </w:rPr>
            </w:pPr>
          </w:p>
          <w:p w:rsidR="00381135" w:rsidRPr="00381135" w:rsidRDefault="00381135" w:rsidP="00876308">
            <w:pPr>
              <w:rPr>
                <w:sz w:val="22"/>
              </w:rPr>
            </w:pPr>
            <w:r w:rsidRPr="00381135">
              <w:rPr>
                <w:sz w:val="22"/>
              </w:rPr>
              <w:t>4.2.4. Vaiko sveikatos stiprinimas</w:t>
            </w:r>
          </w:p>
        </w:tc>
        <w:tc>
          <w:tcPr>
            <w:tcW w:w="1559" w:type="dxa"/>
          </w:tcPr>
          <w:p w:rsidR="00876308" w:rsidRPr="00381135" w:rsidRDefault="00381135" w:rsidP="00876308">
            <w:pPr>
              <w:rPr>
                <w:sz w:val="22"/>
              </w:rPr>
            </w:pPr>
            <w:r w:rsidRPr="00381135">
              <w:rPr>
                <w:sz w:val="22"/>
              </w:rPr>
              <w:t>1.1.2. IUM mikroklimatas</w:t>
            </w:r>
          </w:p>
        </w:tc>
        <w:tc>
          <w:tcPr>
            <w:tcW w:w="1524" w:type="dxa"/>
          </w:tcPr>
          <w:p w:rsidR="00876308" w:rsidRPr="00381135" w:rsidRDefault="00381135" w:rsidP="00876308">
            <w:pPr>
              <w:rPr>
                <w:b/>
                <w:sz w:val="22"/>
              </w:rPr>
            </w:pPr>
            <w:r w:rsidRPr="00381135">
              <w:rPr>
                <w:b/>
                <w:sz w:val="22"/>
              </w:rPr>
              <w:t xml:space="preserve">1.1.2. IUM </w:t>
            </w:r>
            <w:r w:rsidRPr="00381135">
              <w:rPr>
                <w:b/>
                <w:sz w:val="20"/>
                <w:szCs w:val="20"/>
              </w:rPr>
              <w:t>mikroklimatas</w:t>
            </w:r>
          </w:p>
        </w:tc>
      </w:tr>
    </w:tbl>
    <w:p w:rsidR="00876308" w:rsidRPr="00A92AFB" w:rsidRDefault="00876308" w:rsidP="00876308">
      <w:pPr>
        <w:rPr>
          <w:szCs w:val="24"/>
        </w:rPr>
      </w:pPr>
    </w:p>
    <w:p w:rsidR="001A0B5E" w:rsidRDefault="007013D9" w:rsidP="001A0B5E">
      <w:pPr>
        <w:jc w:val="both"/>
        <w:rPr>
          <w:b/>
          <w:szCs w:val="24"/>
        </w:rPr>
      </w:pPr>
      <w:r w:rsidRPr="007013D9">
        <w:rPr>
          <w:b/>
          <w:szCs w:val="24"/>
        </w:rPr>
        <w:lastRenderedPageBreak/>
        <w:t>V. Pasirinktos vertinimo sritys „Giluminiam“ auditui</w:t>
      </w:r>
      <w:r w:rsidR="0062170A">
        <w:rPr>
          <w:b/>
          <w:szCs w:val="24"/>
        </w:rPr>
        <w:t xml:space="preserve"> atlikti</w:t>
      </w:r>
    </w:p>
    <w:p w:rsidR="007013D9" w:rsidRPr="007013D9" w:rsidRDefault="007013D9" w:rsidP="007013D9">
      <w:pPr>
        <w:jc w:val="right"/>
        <w:rPr>
          <w:szCs w:val="24"/>
        </w:rPr>
      </w:pPr>
      <w:r w:rsidRPr="007013D9">
        <w:rPr>
          <w:szCs w:val="24"/>
        </w:rPr>
        <w:t>2 lentelė</w:t>
      </w:r>
    </w:p>
    <w:tbl>
      <w:tblPr>
        <w:tblStyle w:val="TableGrid"/>
        <w:tblW w:w="0" w:type="auto"/>
        <w:tblLook w:val="04A0"/>
      </w:tblPr>
      <w:tblGrid>
        <w:gridCol w:w="3284"/>
        <w:gridCol w:w="3285"/>
        <w:gridCol w:w="3285"/>
      </w:tblGrid>
      <w:tr w:rsidR="007013D9" w:rsidTr="007013D9">
        <w:tc>
          <w:tcPr>
            <w:tcW w:w="3284" w:type="dxa"/>
          </w:tcPr>
          <w:p w:rsidR="007013D9" w:rsidRPr="007013D9" w:rsidRDefault="007013D9" w:rsidP="007013D9">
            <w:pPr>
              <w:jc w:val="center"/>
              <w:rPr>
                <w:b/>
                <w:szCs w:val="24"/>
              </w:rPr>
            </w:pPr>
            <w:r w:rsidRPr="007013D9">
              <w:rPr>
                <w:b/>
                <w:szCs w:val="24"/>
              </w:rPr>
              <w:t>Veiklos sritis</w:t>
            </w:r>
          </w:p>
        </w:tc>
        <w:tc>
          <w:tcPr>
            <w:tcW w:w="3285" w:type="dxa"/>
          </w:tcPr>
          <w:p w:rsidR="007013D9" w:rsidRPr="007013D9" w:rsidRDefault="007013D9" w:rsidP="007013D9">
            <w:pPr>
              <w:jc w:val="center"/>
              <w:rPr>
                <w:b/>
                <w:szCs w:val="24"/>
              </w:rPr>
            </w:pPr>
            <w:r w:rsidRPr="007013D9">
              <w:rPr>
                <w:b/>
                <w:szCs w:val="24"/>
              </w:rPr>
              <w:t>Veiklos rodikliai</w:t>
            </w:r>
          </w:p>
        </w:tc>
        <w:tc>
          <w:tcPr>
            <w:tcW w:w="3285" w:type="dxa"/>
          </w:tcPr>
          <w:p w:rsidR="007013D9" w:rsidRPr="007013D9" w:rsidRDefault="007013D9" w:rsidP="007013D9">
            <w:pPr>
              <w:jc w:val="center"/>
              <w:rPr>
                <w:b/>
                <w:szCs w:val="24"/>
              </w:rPr>
            </w:pPr>
            <w:r w:rsidRPr="007013D9">
              <w:rPr>
                <w:b/>
                <w:szCs w:val="24"/>
              </w:rPr>
              <w:t>Tirti pagalbiniai rodikliai</w:t>
            </w:r>
          </w:p>
        </w:tc>
      </w:tr>
      <w:tr w:rsidR="007013D9" w:rsidTr="007013D9">
        <w:tc>
          <w:tcPr>
            <w:tcW w:w="3284" w:type="dxa"/>
          </w:tcPr>
          <w:p w:rsidR="007013D9" w:rsidRPr="007013D9" w:rsidRDefault="007013D9" w:rsidP="007013D9">
            <w:pPr>
              <w:rPr>
                <w:szCs w:val="24"/>
              </w:rPr>
            </w:pPr>
            <w:r>
              <w:rPr>
                <w:szCs w:val="24"/>
              </w:rPr>
              <w:t xml:space="preserve">1. </w:t>
            </w:r>
            <w:r w:rsidRPr="007013D9">
              <w:rPr>
                <w:szCs w:val="24"/>
              </w:rPr>
              <w:t>IUM kultūra</w:t>
            </w:r>
          </w:p>
        </w:tc>
        <w:tc>
          <w:tcPr>
            <w:tcW w:w="3285" w:type="dxa"/>
          </w:tcPr>
          <w:p w:rsidR="007013D9" w:rsidRDefault="007013D9" w:rsidP="001A0B5E">
            <w:pPr>
              <w:jc w:val="both"/>
              <w:rPr>
                <w:szCs w:val="24"/>
              </w:rPr>
            </w:pPr>
            <w:r>
              <w:rPr>
                <w:szCs w:val="24"/>
              </w:rPr>
              <w:t>1.1. Etosas</w:t>
            </w:r>
          </w:p>
        </w:tc>
        <w:tc>
          <w:tcPr>
            <w:tcW w:w="3285" w:type="dxa"/>
          </w:tcPr>
          <w:p w:rsidR="007013D9" w:rsidRDefault="007013D9" w:rsidP="001A0B5E">
            <w:pPr>
              <w:jc w:val="both"/>
              <w:rPr>
                <w:szCs w:val="24"/>
              </w:rPr>
            </w:pPr>
            <w:r>
              <w:rPr>
                <w:szCs w:val="24"/>
              </w:rPr>
              <w:t>1.1.2. IUM mikroklimatas</w:t>
            </w:r>
          </w:p>
        </w:tc>
      </w:tr>
    </w:tbl>
    <w:p w:rsidR="0062170A" w:rsidRDefault="0062170A" w:rsidP="001A0B5E">
      <w:pPr>
        <w:jc w:val="both"/>
        <w:rPr>
          <w:szCs w:val="24"/>
        </w:rPr>
      </w:pPr>
    </w:p>
    <w:p w:rsidR="0062170A" w:rsidRDefault="0062170A" w:rsidP="001A0B5E">
      <w:pPr>
        <w:jc w:val="both"/>
        <w:rPr>
          <w:szCs w:val="24"/>
        </w:rPr>
      </w:pPr>
    </w:p>
    <w:p w:rsidR="0062170A" w:rsidRDefault="0062170A" w:rsidP="00DC33F9">
      <w:pPr>
        <w:jc w:val="both"/>
        <w:rPr>
          <w:b/>
          <w:szCs w:val="24"/>
        </w:rPr>
      </w:pPr>
      <w:r w:rsidRPr="0062170A">
        <w:rPr>
          <w:b/>
          <w:szCs w:val="24"/>
        </w:rPr>
        <w:t>VI. Išvados</w:t>
      </w:r>
    </w:p>
    <w:p w:rsidR="0062170A" w:rsidRPr="0062170A" w:rsidRDefault="0062170A" w:rsidP="0062170A">
      <w:pPr>
        <w:jc w:val="right"/>
        <w:rPr>
          <w:szCs w:val="24"/>
        </w:rPr>
      </w:pPr>
      <w:r w:rsidRPr="0062170A">
        <w:rPr>
          <w:szCs w:val="24"/>
        </w:rPr>
        <w:t>3 lentelė</w:t>
      </w:r>
    </w:p>
    <w:tbl>
      <w:tblPr>
        <w:tblStyle w:val="TableGrid"/>
        <w:tblW w:w="0" w:type="auto"/>
        <w:tblLook w:val="04A0"/>
      </w:tblPr>
      <w:tblGrid>
        <w:gridCol w:w="4927"/>
        <w:gridCol w:w="4927"/>
      </w:tblGrid>
      <w:tr w:rsidR="0062170A" w:rsidTr="0062170A">
        <w:tc>
          <w:tcPr>
            <w:tcW w:w="4927" w:type="dxa"/>
          </w:tcPr>
          <w:p w:rsidR="0062170A" w:rsidRPr="0062170A" w:rsidRDefault="0062170A" w:rsidP="001A0B5E">
            <w:pPr>
              <w:jc w:val="both"/>
              <w:rPr>
                <w:b/>
                <w:szCs w:val="24"/>
              </w:rPr>
            </w:pPr>
            <w:r w:rsidRPr="0062170A">
              <w:rPr>
                <w:b/>
                <w:szCs w:val="24"/>
              </w:rPr>
              <w:t>Veiklos privalumai</w:t>
            </w:r>
          </w:p>
        </w:tc>
        <w:tc>
          <w:tcPr>
            <w:tcW w:w="4927" w:type="dxa"/>
          </w:tcPr>
          <w:p w:rsidR="0062170A" w:rsidRPr="0062170A" w:rsidRDefault="0062170A" w:rsidP="001A0B5E">
            <w:pPr>
              <w:jc w:val="both"/>
              <w:rPr>
                <w:b/>
                <w:szCs w:val="24"/>
              </w:rPr>
            </w:pPr>
            <w:r w:rsidRPr="0062170A">
              <w:rPr>
                <w:b/>
                <w:szCs w:val="24"/>
              </w:rPr>
              <w:t>Veiklos trūkumai</w:t>
            </w:r>
          </w:p>
        </w:tc>
      </w:tr>
      <w:tr w:rsidR="0062170A" w:rsidTr="0062170A">
        <w:tc>
          <w:tcPr>
            <w:tcW w:w="4927" w:type="dxa"/>
          </w:tcPr>
          <w:p w:rsidR="00DA62C1" w:rsidRDefault="0062170A" w:rsidP="001A0B5E">
            <w:pPr>
              <w:jc w:val="both"/>
              <w:rPr>
                <w:szCs w:val="24"/>
              </w:rPr>
            </w:pPr>
            <w:r>
              <w:rPr>
                <w:szCs w:val="24"/>
              </w:rPr>
              <w:t xml:space="preserve">Ištyrus pagalbinį rodiklį – 1.1.2. </w:t>
            </w:r>
            <w:r w:rsidR="006A76E3">
              <w:rPr>
                <w:szCs w:val="24"/>
              </w:rPr>
              <w:t xml:space="preserve">IUM mikroklimatas galima teigti, kad </w:t>
            </w:r>
            <w:r w:rsidR="003D1C5F">
              <w:rPr>
                <w:szCs w:val="24"/>
              </w:rPr>
              <w:t>įstaigos bendruomenė labai gerai vertina sukurtą fizinę įstaigos aplinką</w:t>
            </w:r>
            <w:r w:rsidR="00062923">
              <w:rPr>
                <w:szCs w:val="24"/>
              </w:rPr>
              <w:t xml:space="preserve"> (grupės ir lauko)</w:t>
            </w:r>
            <w:r w:rsidR="003D1C5F">
              <w:rPr>
                <w:szCs w:val="24"/>
              </w:rPr>
              <w:t>. Edukacinė aplinka skatina ugdymąsi ir pasitikėjimą savimi. Dauguma bendruomenės narių teigia, kad socialinė aplinka skatina bendravimą ir gerus tarpusavio santykius.</w:t>
            </w:r>
            <w:r w:rsidR="00062923">
              <w:rPr>
                <w:szCs w:val="24"/>
              </w:rPr>
              <w:t xml:space="preserve"> </w:t>
            </w:r>
            <w:r w:rsidR="00DA62C1">
              <w:rPr>
                <w:szCs w:val="24"/>
              </w:rPr>
              <w:t>Tėv</w:t>
            </w:r>
            <w:r w:rsidR="00B02737">
              <w:rPr>
                <w:szCs w:val="24"/>
              </w:rPr>
              <w:t>ai yra patenkinti, kad jų vaikai ugdomi</w:t>
            </w:r>
            <w:r w:rsidR="00062923">
              <w:rPr>
                <w:szCs w:val="24"/>
              </w:rPr>
              <w:t xml:space="preserve"> šioje įstaigoje.</w:t>
            </w:r>
          </w:p>
          <w:p w:rsidR="00062923" w:rsidRDefault="00431EB5" w:rsidP="001A0B5E">
            <w:pPr>
              <w:jc w:val="both"/>
              <w:rPr>
                <w:szCs w:val="24"/>
              </w:rPr>
            </w:pPr>
            <w:r>
              <w:rPr>
                <w:szCs w:val="24"/>
              </w:rPr>
              <w:t>Didelė dalis</w:t>
            </w:r>
            <w:r w:rsidR="00062923">
              <w:rPr>
                <w:szCs w:val="24"/>
              </w:rPr>
              <w:t xml:space="preserve"> bendruomenės narių sulaukia pagalbos dalijantis patirtimi, taikant naujas priemones darbe.</w:t>
            </w:r>
          </w:p>
        </w:tc>
        <w:tc>
          <w:tcPr>
            <w:tcW w:w="4927" w:type="dxa"/>
          </w:tcPr>
          <w:p w:rsidR="00B06C5D" w:rsidRDefault="0062170A" w:rsidP="001A0B5E">
            <w:pPr>
              <w:jc w:val="both"/>
              <w:rPr>
                <w:szCs w:val="24"/>
              </w:rPr>
            </w:pPr>
            <w:r>
              <w:rPr>
                <w:szCs w:val="24"/>
              </w:rPr>
              <w:t xml:space="preserve">Apklausus įstaigos </w:t>
            </w:r>
            <w:r w:rsidR="003D1C5F">
              <w:rPr>
                <w:szCs w:val="24"/>
              </w:rPr>
              <w:t>bendruomenę ar įstaigoje vyrauja šilta emocinė ap</w:t>
            </w:r>
            <w:r w:rsidR="00DA62C1">
              <w:rPr>
                <w:szCs w:val="24"/>
              </w:rPr>
              <w:t>linka</w:t>
            </w:r>
            <w:r w:rsidR="00B02737">
              <w:rPr>
                <w:szCs w:val="24"/>
              </w:rPr>
              <w:t>,</w:t>
            </w:r>
            <w:r w:rsidR="00DA62C1">
              <w:rPr>
                <w:szCs w:val="24"/>
              </w:rPr>
              <w:t xml:space="preserve"> tėveli</w:t>
            </w:r>
            <w:r w:rsidR="00B354FD">
              <w:rPr>
                <w:szCs w:val="24"/>
              </w:rPr>
              <w:t>ų teigimu ji yra, tačiau keletas</w:t>
            </w:r>
            <w:r w:rsidR="00DA62C1">
              <w:rPr>
                <w:szCs w:val="24"/>
              </w:rPr>
              <w:t xml:space="preserve"> darbuotojų tik</w:t>
            </w:r>
            <w:r w:rsidR="00B06C5D">
              <w:rPr>
                <w:szCs w:val="24"/>
              </w:rPr>
              <w:t xml:space="preserve"> iš dalies sutinka, kad emocinė aplinka yra šilta. </w:t>
            </w:r>
          </w:p>
          <w:p w:rsidR="0062170A" w:rsidRDefault="00B06C5D" w:rsidP="001A0B5E">
            <w:pPr>
              <w:jc w:val="both"/>
              <w:rPr>
                <w:szCs w:val="24"/>
              </w:rPr>
            </w:pPr>
            <w:r>
              <w:rPr>
                <w:szCs w:val="24"/>
              </w:rPr>
              <w:t xml:space="preserve">Dalis įstaigos darbuotojų jaučiasi </w:t>
            </w:r>
            <w:r w:rsidR="004A7F11">
              <w:rPr>
                <w:szCs w:val="24"/>
              </w:rPr>
              <w:t>saugūs, įvertinti ir pripažinti.</w:t>
            </w:r>
            <w:r>
              <w:rPr>
                <w:szCs w:val="24"/>
              </w:rPr>
              <w:t xml:space="preserve"> </w:t>
            </w:r>
            <w:r w:rsidR="004A7F11">
              <w:rPr>
                <w:szCs w:val="24"/>
              </w:rPr>
              <w:t>N</w:t>
            </w:r>
            <w:r w:rsidR="00B02737">
              <w:rPr>
                <w:szCs w:val="24"/>
              </w:rPr>
              <w:t xml:space="preserve">edidelė </w:t>
            </w:r>
            <w:r>
              <w:rPr>
                <w:szCs w:val="24"/>
              </w:rPr>
              <w:t>dalis taip jaučiasi tik iš dalies.</w:t>
            </w:r>
            <w:r w:rsidR="003D1C5F">
              <w:rPr>
                <w:szCs w:val="24"/>
              </w:rPr>
              <w:t xml:space="preserve"> </w:t>
            </w:r>
          </w:p>
          <w:p w:rsidR="00062923" w:rsidRDefault="00062923" w:rsidP="001A0B5E">
            <w:pPr>
              <w:jc w:val="both"/>
              <w:rPr>
                <w:szCs w:val="24"/>
              </w:rPr>
            </w:pPr>
          </w:p>
        </w:tc>
      </w:tr>
    </w:tbl>
    <w:p w:rsidR="0062170A" w:rsidRDefault="0062170A" w:rsidP="001A0B5E">
      <w:pPr>
        <w:jc w:val="both"/>
        <w:rPr>
          <w:szCs w:val="24"/>
        </w:rPr>
      </w:pPr>
    </w:p>
    <w:p w:rsidR="00062923" w:rsidRDefault="00062923" w:rsidP="001A0B5E">
      <w:pPr>
        <w:jc w:val="both"/>
        <w:rPr>
          <w:b/>
          <w:szCs w:val="24"/>
        </w:rPr>
      </w:pPr>
      <w:r>
        <w:rPr>
          <w:b/>
          <w:szCs w:val="24"/>
        </w:rPr>
        <w:t>VII. Tobulinti pasirinkti</w:t>
      </w:r>
      <w:r w:rsidRPr="00062923">
        <w:rPr>
          <w:b/>
          <w:szCs w:val="24"/>
        </w:rPr>
        <w:t xml:space="preserve"> veiklos aspektai (nurodyti pagalbinius rodiklius)</w:t>
      </w:r>
      <w:r>
        <w:rPr>
          <w:b/>
          <w:szCs w:val="24"/>
        </w:rPr>
        <w:t xml:space="preserve"> ir</w:t>
      </w:r>
      <w:r w:rsidR="001C5B00">
        <w:rPr>
          <w:b/>
          <w:szCs w:val="24"/>
        </w:rPr>
        <w:t xml:space="preserve"> rekomendacijos planuojant 2014–</w:t>
      </w:r>
      <w:r>
        <w:rPr>
          <w:b/>
          <w:szCs w:val="24"/>
        </w:rPr>
        <w:t>2015 m. m. įstaigos veiklą</w:t>
      </w:r>
      <w:r w:rsidRPr="00062923">
        <w:rPr>
          <w:b/>
          <w:szCs w:val="24"/>
        </w:rPr>
        <w:t>.</w:t>
      </w:r>
    </w:p>
    <w:p w:rsidR="00062923" w:rsidRDefault="00062923" w:rsidP="001A0B5E">
      <w:pPr>
        <w:jc w:val="both"/>
        <w:rPr>
          <w:b/>
          <w:szCs w:val="24"/>
        </w:rPr>
      </w:pPr>
    </w:p>
    <w:p w:rsidR="00062923" w:rsidRDefault="00062923" w:rsidP="001A0B5E">
      <w:pPr>
        <w:jc w:val="both"/>
        <w:rPr>
          <w:szCs w:val="24"/>
        </w:rPr>
      </w:pPr>
      <w:r>
        <w:rPr>
          <w:szCs w:val="24"/>
        </w:rPr>
        <w:t xml:space="preserve">Išanalizavus 1.1.2. pagalbinį rodiklį, </w:t>
      </w:r>
      <w:r w:rsidR="00907B6C">
        <w:rPr>
          <w:szCs w:val="24"/>
        </w:rPr>
        <w:t>2014</w:t>
      </w:r>
      <w:r w:rsidR="00907B6C">
        <w:rPr>
          <w:szCs w:val="24"/>
        </w:rPr>
        <w:sym w:font="Symbol" w:char="F02D"/>
      </w:r>
      <w:r w:rsidR="00907B6C">
        <w:rPr>
          <w:szCs w:val="24"/>
        </w:rPr>
        <w:t xml:space="preserve">2015 m. m. </w:t>
      </w:r>
      <w:r>
        <w:rPr>
          <w:szCs w:val="24"/>
        </w:rPr>
        <w:t>pasirinkta tobulinti įstaigos mikroklimatą.</w:t>
      </w:r>
    </w:p>
    <w:p w:rsidR="002366FE" w:rsidRDefault="002366FE" w:rsidP="001A0B5E">
      <w:pPr>
        <w:jc w:val="both"/>
        <w:rPr>
          <w:szCs w:val="24"/>
        </w:rPr>
      </w:pPr>
    </w:p>
    <w:p w:rsidR="00062923" w:rsidRDefault="00E118A4" w:rsidP="001A0B5E">
      <w:pPr>
        <w:jc w:val="both"/>
        <w:rPr>
          <w:szCs w:val="24"/>
        </w:rPr>
      </w:pPr>
      <w:r>
        <w:rPr>
          <w:szCs w:val="24"/>
        </w:rPr>
        <w:t>Rekomendacijos</w:t>
      </w:r>
      <w:r w:rsidR="007E33D9">
        <w:rPr>
          <w:szCs w:val="24"/>
        </w:rPr>
        <w:t xml:space="preserve"> veiklai tobulinti</w:t>
      </w:r>
      <w:r>
        <w:rPr>
          <w:szCs w:val="24"/>
        </w:rPr>
        <w:t>:</w:t>
      </w:r>
    </w:p>
    <w:p w:rsidR="00E118A4" w:rsidRPr="007E33D9" w:rsidRDefault="00B354FD" w:rsidP="00B354FD">
      <w:pPr>
        <w:pStyle w:val="ListParagraph"/>
        <w:ind w:left="0"/>
        <w:jc w:val="both"/>
        <w:rPr>
          <w:szCs w:val="24"/>
        </w:rPr>
      </w:pPr>
      <w:r>
        <w:rPr>
          <w:szCs w:val="24"/>
        </w:rPr>
        <w:t xml:space="preserve">      1. </w:t>
      </w:r>
      <w:r w:rsidR="00354682">
        <w:rPr>
          <w:szCs w:val="24"/>
        </w:rPr>
        <w:t xml:space="preserve">  </w:t>
      </w:r>
      <w:r w:rsidR="00E118A4" w:rsidRPr="007E33D9">
        <w:rPr>
          <w:szCs w:val="24"/>
        </w:rPr>
        <w:t>Ie</w:t>
      </w:r>
      <w:r w:rsidR="00257CF2" w:rsidRPr="007E33D9">
        <w:rPr>
          <w:szCs w:val="24"/>
        </w:rPr>
        <w:t>škoti naujų,</w:t>
      </w:r>
      <w:r w:rsidR="00E118A4" w:rsidRPr="007E33D9">
        <w:rPr>
          <w:szCs w:val="24"/>
        </w:rPr>
        <w:t xml:space="preserve"> patrauklių būdų ir formų stiprinant socialinę aplinką, kuri skatintų bendravimą ir gerus tarpusavio santykius</w:t>
      </w:r>
      <w:r w:rsidR="00547393" w:rsidRPr="007E33D9">
        <w:rPr>
          <w:szCs w:val="24"/>
        </w:rPr>
        <w:t>.</w:t>
      </w:r>
      <w:r w:rsidR="00EF169D" w:rsidRPr="007E33D9">
        <w:rPr>
          <w:szCs w:val="24"/>
        </w:rPr>
        <w:t xml:space="preserve"> </w:t>
      </w:r>
    </w:p>
    <w:p w:rsidR="00257CF2" w:rsidRPr="00354682" w:rsidRDefault="00354682" w:rsidP="00354682">
      <w:pPr>
        <w:ind w:left="360"/>
        <w:jc w:val="both"/>
        <w:rPr>
          <w:szCs w:val="24"/>
        </w:rPr>
      </w:pPr>
      <w:r>
        <w:rPr>
          <w:szCs w:val="24"/>
        </w:rPr>
        <w:t xml:space="preserve">2.   </w:t>
      </w:r>
      <w:r w:rsidR="007E33D9" w:rsidRPr="00354682">
        <w:rPr>
          <w:szCs w:val="24"/>
        </w:rPr>
        <w:t>Organizuoti specialistų (psichologų) kursus, pokalbius, diskusijas</w:t>
      </w:r>
      <w:r w:rsidRPr="00354682">
        <w:rPr>
          <w:szCs w:val="24"/>
        </w:rPr>
        <w:t xml:space="preserve"> mikroklimato gerinimui</w:t>
      </w:r>
      <w:r w:rsidR="007E33D9" w:rsidRPr="00354682">
        <w:rPr>
          <w:szCs w:val="24"/>
        </w:rPr>
        <w:t>.</w:t>
      </w:r>
    </w:p>
    <w:p w:rsidR="007E33D9" w:rsidRPr="00354682" w:rsidRDefault="00354682" w:rsidP="00354682">
      <w:pPr>
        <w:jc w:val="both"/>
        <w:rPr>
          <w:szCs w:val="24"/>
        </w:rPr>
      </w:pPr>
      <w:r>
        <w:rPr>
          <w:szCs w:val="24"/>
        </w:rPr>
        <w:t xml:space="preserve">      3.   </w:t>
      </w:r>
      <w:r w:rsidR="007E33D9" w:rsidRPr="00354682">
        <w:rPr>
          <w:szCs w:val="24"/>
        </w:rPr>
        <w:t>Nematerialinėmis priemonėmis motyvuoti darbuotojus, skatinti dalyvauti įstaigos veikloje.</w:t>
      </w:r>
    </w:p>
    <w:p w:rsidR="004A7F11" w:rsidRPr="00354682" w:rsidRDefault="00354682" w:rsidP="00354682">
      <w:pPr>
        <w:jc w:val="both"/>
        <w:rPr>
          <w:szCs w:val="24"/>
        </w:rPr>
      </w:pPr>
      <w:r>
        <w:rPr>
          <w:szCs w:val="24"/>
        </w:rPr>
        <w:t xml:space="preserve">      4.   </w:t>
      </w:r>
      <w:r w:rsidR="007E33D9" w:rsidRPr="00354682">
        <w:rPr>
          <w:szCs w:val="24"/>
        </w:rPr>
        <w:t>Sudaryti bendruomenei galimybes įsivertinti savo kompetencijas.</w:t>
      </w:r>
    </w:p>
    <w:p w:rsidR="00604885" w:rsidRPr="004A7F11" w:rsidRDefault="00354682" w:rsidP="00354682">
      <w:pPr>
        <w:pStyle w:val="ListParagraph"/>
        <w:ind w:left="0"/>
        <w:jc w:val="both"/>
        <w:rPr>
          <w:szCs w:val="24"/>
        </w:rPr>
      </w:pPr>
      <w:r>
        <w:rPr>
          <w:szCs w:val="24"/>
        </w:rPr>
        <w:t xml:space="preserve">      5. </w:t>
      </w:r>
      <w:r w:rsidR="00604885" w:rsidRPr="004A7F11">
        <w:rPr>
          <w:szCs w:val="24"/>
        </w:rPr>
        <w:t>Organizuojant bendrus renginius skatinti įstaigos bendruomeniškumą, užtikrinti saugų, partneryste grįstą pedagogų bendravimą ir bendradarbiavimą.</w:t>
      </w:r>
    </w:p>
    <w:p w:rsidR="00E118A4" w:rsidRDefault="00E118A4" w:rsidP="001A0B5E">
      <w:pPr>
        <w:jc w:val="both"/>
        <w:rPr>
          <w:szCs w:val="24"/>
        </w:rPr>
      </w:pPr>
    </w:p>
    <w:p w:rsidR="00062923" w:rsidRDefault="00062923" w:rsidP="001A0B5E">
      <w:pPr>
        <w:jc w:val="both"/>
        <w:rPr>
          <w:szCs w:val="24"/>
        </w:rPr>
      </w:pPr>
    </w:p>
    <w:p w:rsidR="00062923" w:rsidRDefault="00062923" w:rsidP="001A0B5E">
      <w:pPr>
        <w:jc w:val="both"/>
        <w:rPr>
          <w:b/>
          <w:szCs w:val="24"/>
        </w:rPr>
      </w:pPr>
      <w:r>
        <w:rPr>
          <w:szCs w:val="24"/>
        </w:rPr>
        <w:t xml:space="preserve">Audito grupės vadovė                                     ____________                                     </w:t>
      </w:r>
      <w:r w:rsidRPr="00062923">
        <w:rPr>
          <w:b/>
          <w:szCs w:val="24"/>
        </w:rPr>
        <w:t>Giedrė Bakienė</w:t>
      </w:r>
    </w:p>
    <w:p w:rsidR="00062923" w:rsidRPr="00062923" w:rsidRDefault="00062923" w:rsidP="001A0B5E">
      <w:pPr>
        <w:jc w:val="both"/>
        <w:rPr>
          <w:szCs w:val="24"/>
        </w:rPr>
      </w:pPr>
      <w:r>
        <w:rPr>
          <w:b/>
          <w:szCs w:val="24"/>
        </w:rPr>
        <w:t xml:space="preserve">                                                                        </w:t>
      </w:r>
      <w:r w:rsidR="00E118A4">
        <w:rPr>
          <w:b/>
          <w:szCs w:val="24"/>
        </w:rPr>
        <w:t xml:space="preserve">    </w:t>
      </w:r>
      <w:r>
        <w:rPr>
          <w:b/>
          <w:szCs w:val="24"/>
        </w:rPr>
        <w:t xml:space="preserve">  </w:t>
      </w:r>
      <w:r w:rsidRPr="00062923">
        <w:rPr>
          <w:szCs w:val="24"/>
        </w:rPr>
        <w:t>(parašas)</w:t>
      </w:r>
    </w:p>
    <w:p w:rsidR="00062923" w:rsidRPr="00062923" w:rsidRDefault="00062923" w:rsidP="001A0B5E">
      <w:pPr>
        <w:jc w:val="both"/>
        <w:rPr>
          <w:b/>
          <w:szCs w:val="24"/>
        </w:rPr>
      </w:pPr>
    </w:p>
    <w:p w:rsidR="00062923" w:rsidRPr="0062170A" w:rsidRDefault="00062923" w:rsidP="001A0B5E">
      <w:pPr>
        <w:jc w:val="both"/>
        <w:rPr>
          <w:szCs w:val="24"/>
        </w:rPr>
      </w:pPr>
    </w:p>
    <w:sectPr w:rsidR="00062923" w:rsidRPr="0062170A" w:rsidSect="00FF23A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8C1"/>
    <w:multiLevelType w:val="hybridMultilevel"/>
    <w:tmpl w:val="524A5F5C"/>
    <w:lvl w:ilvl="0" w:tplc="53B2567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nsid w:val="1F32041F"/>
    <w:multiLevelType w:val="hybridMultilevel"/>
    <w:tmpl w:val="09126A2C"/>
    <w:lvl w:ilvl="0" w:tplc="B9683EC2">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2">
    <w:nsid w:val="3FAE24A1"/>
    <w:multiLevelType w:val="hybridMultilevel"/>
    <w:tmpl w:val="C9C2B5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6D21E7C"/>
    <w:multiLevelType w:val="hybridMultilevel"/>
    <w:tmpl w:val="39AA994A"/>
    <w:lvl w:ilvl="0" w:tplc="8292A75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nsid w:val="4BA839FF"/>
    <w:multiLevelType w:val="hybridMultilevel"/>
    <w:tmpl w:val="73424EFE"/>
    <w:lvl w:ilvl="0" w:tplc="B946602C">
      <w:start w:val="1"/>
      <w:numFmt w:val="decimal"/>
      <w:lvlText w:val="%1"/>
      <w:lvlJc w:val="left"/>
      <w:pPr>
        <w:ind w:left="1650" w:hanging="360"/>
      </w:pPr>
      <w:rPr>
        <w:rFonts w:ascii="Times New Roman" w:eastAsiaTheme="minorHAnsi" w:hAnsi="Times New Roman" w:cstheme="minorBidi"/>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nsid w:val="560719C0"/>
    <w:multiLevelType w:val="hybridMultilevel"/>
    <w:tmpl w:val="75B413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9F35E4"/>
    <w:rsid w:val="00031A32"/>
    <w:rsid w:val="00062923"/>
    <w:rsid w:val="000B7BF6"/>
    <w:rsid w:val="000C5B82"/>
    <w:rsid w:val="000E3E9A"/>
    <w:rsid w:val="00104913"/>
    <w:rsid w:val="001866AE"/>
    <w:rsid w:val="00190E03"/>
    <w:rsid w:val="001A0B5E"/>
    <w:rsid w:val="001C5B00"/>
    <w:rsid w:val="0022073E"/>
    <w:rsid w:val="00224AB9"/>
    <w:rsid w:val="002366FE"/>
    <w:rsid w:val="00257CF2"/>
    <w:rsid w:val="00354682"/>
    <w:rsid w:val="00381135"/>
    <w:rsid w:val="003A5ABA"/>
    <w:rsid w:val="003D1C5F"/>
    <w:rsid w:val="00431EB5"/>
    <w:rsid w:val="00453D14"/>
    <w:rsid w:val="004A7F11"/>
    <w:rsid w:val="00547393"/>
    <w:rsid w:val="00604885"/>
    <w:rsid w:val="0062170A"/>
    <w:rsid w:val="00651EEC"/>
    <w:rsid w:val="006754C4"/>
    <w:rsid w:val="006965F5"/>
    <w:rsid w:val="006A539C"/>
    <w:rsid w:val="006A76E3"/>
    <w:rsid w:val="007013D9"/>
    <w:rsid w:val="00763074"/>
    <w:rsid w:val="00763D09"/>
    <w:rsid w:val="007E33D9"/>
    <w:rsid w:val="007E56D2"/>
    <w:rsid w:val="00860B6B"/>
    <w:rsid w:val="00876308"/>
    <w:rsid w:val="008B66C5"/>
    <w:rsid w:val="00907B6C"/>
    <w:rsid w:val="00922FFD"/>
    <w:rsid w:val="00950EE4"/>
    <w:rsid w:val="00980B4F"/>
    <w:rsid w:val="00992652"/>
    <w:rsid w:val="009D1EEB"/>
    <w:rsid w:val="009E2944"/>
    <w:rsid w:val="009F35E4"/>
    <w:rsid w:val="00A332BB"/>
    <w:rsid w:val="00A92AFB"/>
    <w:rsid w:val="00AA1316"/>
    <w:rsid w:val="00AE223C"/>
    <w:rsid w:val="00AE2A5F"/>
    <w:rsid w:val="00B02737"/>
    <w:rsid w:val="00B06C5D"/>
    <w:rsid w:val="00B354FD"/>
    <w:rsid w:val="00B6224D"/>
    <w:rsid w:val="00B77E5B"/>
    <w:rsid w:val="00B9760C"/>
    <w:rsid w:val="00BF20C0"/>
    <w:rsid w:val="00C76F3C"/>
    <w:rsid w:val="00D1049A"/>
    <w:rsid w:val="00D44278"/>
    <w:rsid w:val="00DA62C1"/>
    <w:rsid w:val="00DC33F9"/>
    <w:rsid w:val="00E0227B"/>
    <w:rsid w:val="00E118A4"/>
    <w:rsid w:val="00E42E58"/>
    <w:rsid w:val="00E92186"/>
    <w:rsid w:val="00EE2F5C"/>
    <w:rsid w:val="00EF169D"/>
    <w:rsid w:val="00F34B57"/>
    <w:rsid w:val="00F400D8"/>
    <w:rsid w:val="00F46E7A"/>
    <w:rsid w:val="00FF23A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F5"/>
  </w:style>
  <w:style w:type="paragraph" w:styleId="Heading1">
    <w:name w:val="heading 1"/>
    <w:basedOn w:val="Normal"/>
    <w:next w:val="Normal"/>
    <w:link w:val="Heading1Char"/>
    <w:uiPriority w:val="9"/>
    <w:qFormat/>
    <w:rsid w:val="00696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65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65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5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65F5"/>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6965F5"/>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696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5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965F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965F5"/>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6965F5"/>
    <w:rPr>
      <w:b/>
      <w:bCs/>
    </w:rPr>
  </w:style>
  <w:style w:type="character" w:styleId="Emphasis">
    <w:name w:val="Emphasis"/>
    <w:basedOn w:val="DefaultParagraphFont"/>
    <w:uiPriority w:val="20"/>
    <w:qFormat/>
    <w:rsid w:val="006965F5"/>
    <w:rPr>
      <w:i/>
      <w:iCs/>
    </w:rPr>
  </w:style>
  <w:style w:type="paragraph" w:styleId="NoSpacing">
    <w:name w:val="No Spacing"/>
    <w:uiPriority w:val="1"/>
    <w:qFormat/>
    <w:rsid w:val="006965F5"/>
    <w:pPr>
      <w:spacing w:line="240" w:lineRule="auto"/>
    </w:pPr>
  </w:style>
  <w:style w:type="paragraph" w:styleId="ListParagraph">
    <w:name w:val="List Paragraph"/>
    <w:basedOn w:val="Normal"/>
    <w:uiPriority w:val="34"/>
    <w:qFormat/>
    <w:rsid w:val="006965F5"/>
    <w:pPr>
      <w:ind w:left="720"/>
      <w:contextualSpacing/>
    </w:pPr>
  </w:style>
  <w:style w:type="paragraph" w:styleId="Quote">
    <w:name w:val="Quote"/>
    <w:basedOn w:val="Normal"/>
    <w:next w:val="Normal"/>
    <w:link w:val="QuoteChar"/>
    <w:uiPriority w:val="29"/>
    <w:qFormat/>
    <w:rsid w:val="006965F5"/>
    <w:rPr>
      <w:i/>
      <w:iCs/>
      <w:color w:val="000000" w:themeColor="text1"/>
    </w:rPr>
  </w:style>
  <w:style w:type="character" w:customStyle="1" w:styleId="QuoteChar">
    <w:name w:val="Quote Char"/>
    <w:basedOn w:val="DefaultParagraphFont"/>
    <w:link w:val="Quote"/>
    <w:uiPriority w:val="29"/>
    <w:rsid w:val="006965F5"/>
    <w:rPr>
      <w:i/>
      <w:iCs/>
      <w:color w:val="000000" w:themeColor="text1"/>
    </w:rPr>
  </w:style>
  <w:style w:type="paragraph" w:styleId="IntenseQuote">
    <w:name w:val="Intense Quote"/>
    <w:basedOn w:val="Normal"/>
    <w:next w:val="Normal"/>
    <w:link w:val="IntenseQuoteChar"/>
    <w:uiPriority w:val="30"/>
    <w:qFormat/>
    <w:rsid w:val="006965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65F5"/>
    <w:rPr>
      <w:b/>
      <w:bCs/>
      <w:i/>
      <w:iCs/>
      <w:color w:val="4F81BD" w:themeColor="accent1"/>
    </w:rPr>
  </w:style>
  <w:style w:type="character" w:styleId="SubtleEmphasis">
    <w:name w:val="Subtle Emphasis"/>
    <w:basedOn w:val="DefaultParagraphFont"/>
    <w:uiPriority w:val="19"/>
    <w:qFormat/>
    <w:rsid w:val="006965F5"/>
    <w:rPr>
      <w:i/>
      <w:iCs/>
      <w:color w:val="808080" w:themeColor="text1" w:themeTint="7F"/>
    </w:rPr>
  </w:style>
  <w:style w:type="character" w:styleId="IntenseEmphasis">
    <w:name w:val="Intense Emphasis"/>
    <w:basedOn w:val="DefaultParagraphFont"/>
    <w:uiPriority w:val="21"/>
    <w:qFormat/>
    <w:rsid w:val="006965F5"/>
    <w:rPr>
      <w:b/>
      <w:bCs/>
      <w:i/>
      <w:iCs/>
      <w:color w:val="4F81BD" w:themeColor="accent1"/>
    </w:rPr>
  </w:style>
  <w:style w:type="character" w:styleId="SubtleReference">
    <w:name w:val="Subtle Reference"/>
    <w:basedOn w:val="DefaultParagraphFont"/>
    <w:uiPriority w:val="31"/>
    <w:qFormat/>
    <w:rsid w:val="006965F5"/>
    <w:rPr>
      <w:smallCaps/>
      <w:color w:val="C0504D" w:themeColor="accent2"/>
      <w:u w:val="single"/>
    </w:rPr>
  </w:style>
  <w:style w:type="character" w:styleId="IntenseReference">
    <w:name w:val="Intense Reference"/>
    <w:basedOn w:val="DefaultParagraphFont"/>
    <w:uiPriority w:val="32"/>
    <w:qFormat/>
    <w:rsid w:val="006965F5"/>
    <w:rPr>
      <w:b/>
      <w:bCs/>
      <w:smallCaps/>
      <w:color w:val="C0504D" w:themeColor="accent2"/>
      <w:spacing w:val="5"/>
      <w:u w:val="single"/>
    </w:rPr>
  </w:style>
  <w:style w:type="character" w:styleId="BookTitle">
    <w:name w:val="Book Title"/>
    <w:basedOn w:val="DefaultParagraphFont"/>
    <w:uiPriority w:val="33"/>
    <w:qFormat/>
    <w:rsid w:val="006965F5"/>
    <w:rPr>
      <w:b/>
      <w:bCs/>
      <w:smallCaps/>
      <w:spacing w:val="5"/>
    </w:rPr>
  </w:style>
  <w:style w:type="character" w:customStyle="1" w:styleId="Heading3Char">
    <w:name w:val="Heading 3 Char"/>
    <w:basedOn w:val="DefaultParagraphFont"/>
    <w:link w:val="Heading3"/>
    <w:uiPriority w:val="9"/>
    <w:rsid w:val="006965F5"/>
    <w:rPr>
      <w:rFonts w:asciiTheme="majorHAnsi" w:eastAsiaTheme="majorEastAsia" w:hAnsiTheme="majorHAnsi" w:cstheme="majorBidi"/>
      <w:b/>
      <w:bCs/>
      <w:color w:val="4F81BD" w:themeColor="accent1"/>
    </w:rPr>
  </w:style>
  <w:style w:type="table" w:styleId="TableGrid">
    <w:name w:val="Table Grid"/>
    <w:basedOn w:val="TableNormal"/>
    <w:uiPriority w:val="59"/>
    <w:rsid w:val="008763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3919</Words>
  <Characters>2234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Pavaduodoja</dc:creator>
  <cp:keywords/>
  <dc:description/>
  <cp:lastModifiedBy>Pavaduodoja</cp:lastModifiedBy>
  <cp:revision>2</cp:revision>
  <cp:lastPrinted>2014-09-15T10:48:00Z</cp:lastPrinted>
  <dcterms:created xsi:type="dcterms:W3CDTF">2015-02-24T06:32:00Z</dcterms:created>
  <dcterms:modified xsi:type="dcterms:W3CDTF">2015-02-24T06:32:00Z</dcterms:modified>
</cp:coreProperties>
</file>