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E03" w:rsidRDefault="00190E03" w:rsidP="00AE223C">
      <w:pPr>
        <w:jc w:val="center"/>
        <w:rPr>
          <w:szCs w:val="24"/>
        </w:rPr>
      </w:pPr>
      <w:r>
        <w:rPr>
          <w:b/>
          <w:szCs w:val="24"/>
        </w:rPr>
        <w:t xml:space="preserve">                                          </w:t>
      </w:r>
      <w:r w:rsidR="00F67FAC">
        <w:rPr>
          <w:b/>
          <w:szCs w:val="24"/>
        </w:rPr>
        <w:t xml:space="preserve">                         </w:t>
      </w:r>
      <w:r>
        <w:rPr>
          <w:b/>
          <w:szCs w:val="24"/>
        </w:rPr>
        <w:t xml:space="preserve"> </w:t>
      </w:r>
      <w:r w:rsidRPr="00190E03">
        <w:rPr>
          <w:szCs w:val="24"/>
        </w:rPr>
        <w:t>Mokytojų tarybos posėdžio</w:t>
      </w:r>
    </w:p>
    <w:p w:rsidR="00190E03" w:rsidRDefault="00190E03" w:rsidP="00AE223C">
      <w:pPr>
        <w:jc w:val="center"/>
        <w:rPr>
          <w:szCs w:val="24"/>
        </w:rPr>
      </w:pPr>
      <w:r>
        <w:rPr>
          <w:szCs w:val="24"/>
        </w:rPr>
        <w:t xml:space="preserve">                                                                   </w:t>
      </w:r>
      <w:r w:rsidR="00F67FAC">
        <w:rPr>
          <w:szCs w:val="24"/>
        </w:rPr>
        <w:t xml:space="preserve">                         2015 m. gegužės  29 d. protokolo Nr. P1-4</w:t>
      </w:r>
    </w:p>
    <w:p w:rsidR="00190E03" w:rsidRPr="00190E03" w:rsidRDefault="00190E03" w:rsidP="00AE223C">
      <w:pPr>
        <w:jc w:val="center"/>
        <w:rPr>
          <w:szCs w:val="24"/>
        </w:rPr>
      </w:pPr>
      <w:r>
        <w:rPr>
          <w:szCs w:val="24"/>
        </w:rPr>
        <w:t xml:space="preserve">             </w:t>
      </w:r>
      <w:r w:rsidR="00525DD7">
        <w:rPr>
          <w:szCs w:val="24"/>
        </w:rPr>
        <w:t xml:space="preserve">                          4</w:t>
      </w:r>
      <w:r>
        <w:rPr>
          <w:szCs w:val="24"/>
        </w:rPr>
        <w:t xml:space="preserve"> priedas</w:t>
      </w:r>
    </w:p>
    <w:p w:rsidR="00190E03" w:rsidRDefault="00190E03" w:rsidP="00190E03">
      <w:pPr>
        <w:rPr>
          <w:b/>
          <w:szCs w:val="24"/>
        </w:rPr>
      </w:pPr>
    </w:p>
    <w:p w:rsidR="00190E03" w:rsidRDefault="00190E03" w:rsidP="00190E03">
      <w:pPr>
        <w:rPr>
          <w:b/>
          <w:szCs w:val="24"/>
        </w:rPr>
      </w:pPr>
    </w:p>
    <w:p w:rsidR="00AE2A5F" w:rsidRDefault="009F35E4" w:rsidP="00AE223C">
      <w:pPr>
        <w:jc w:val="center"/>
        <w:rPr>
          <w:b/>
          <w:szCs w:val="24"/>
        </w:rPr>
      </w:pPr>
      <w:r w:rsidRPr="00AE2A5F">
        <w:rPr>
          <w:b/>
          <w:szCs w:val="24"/>
        </w:rPr>
        <w:t>KLAIP</w:t>
      </w:r>
      <w:r w:rsidR="00AE2A5F">
        <w:rPr>
          <w:b/>
          <w:szCs w:val="24"/>
        </w:rPr>
        <w:t>ĖDOS R. PRIEKULĖS VAIKŲ LOPŠELIO-DARŽELIO</w:t>
      </w:r>
    </w:p>
    <w:p w:rsidR="00104913" w:rsidRPr="00AE2A5F" w:rsidRDefault="000A6BE8" w:rsidP="009F35E4">
      <w:pPr>
        <w:jc w:val="center"/>
        <w:rPr>
          <w:b/>
          <w:szCs w:val="24"/>
        </w:rPr>
      </w:pPr>
      <w:r>
        <w:rPr>
          <w:b/>
          <w:szCs w:val="24"/>
        </w:rPr>
        <w:t>2014</w:t>
      </w:r>
      <w:r w:rsidR="001C5B00">
        <w:rPr>
          <w:b/>
          <w:szCs w:val="24"/>
        </w:rPr>
        <w:t>–</w:t>
      </w:r>
      <w:r>
        <w:rPr>
          <w:b/>
          <w:szCs w:val="24"/>
        </w:rPr>
        <w:t>2015</w:t>
      </w:r>
      <w:r w:rsidR="00AE2A5F">
        <w:rPr>
          <w:b/>
          <w:szCs w:val="24"/>
        </w:rPr>
        <w:t xml:space="preserve"> MOKSLO METŲ VIDAUS AUDITO ATASKAITOS IŠVADOS IR REKOMENDACIJOS VEIKLAI TOBULINTI</w:t>
      </w:r>
    </w:p>
    <w:p w:rsidR="009F35E4" w:rsidRDefault="009F35E4" w:rsidP="009F35E4">
      <w:pPr>
        <w:jc w:val="center"/>
        <w:rPr>
          <w:b/>
          <w:sz w:val="28"/>
          <w:szCs w:val="28"/>
        </w:rPr>
      </w:pPr>
    </w:p>
    <w:p w:rsidR="00AE2A5F" w:rsidRDefault="00AE2A5F" w:rsidP="009F35E4">
      <w:pPr>
        <w:jc w:val="center"/>
        <w:rPr>
          <w:b/>
          <w:szCs w:val="24"/>
        </w:rPr>
      </w:pPr>
    </w:p>
    <w:p w:rsidR="009F35E4" w:rsidRDefault="009F35E4" w:rsidP="009F35E4">
      <w:pPr>
        <w:rPr>
          <w:b/>
          <w:szCs w:val="24"/>
        </w:rPr>
      </w:pPr>
      <w:r>
        <w:rPr>
          <w:b/>
          <w:szCs w:val="24"/>
        </w:rPr>
        <w:t xml:space="preserve">I. </w:t>
      </w:r>
      <w:r w:rsidR="001A0B5E">
        <w:rPr>
          <w:b/>
          <w:szCs w:val="24"/>
        </w:rPr>
        <w:t>Trumpa mokyklos charakteristika</w:t>
      </w:r>
    </w:p>
    <w:p w:rsidR="009F35E4" w:rsidRDefault="009F35E4" w:rsidP="009F35E4">
      <w:pPr>
        <w:rPr>
          <w:b/>
          <w:szCs w:val="24"/>
        </w:rPr>
      </w:pPr>
    </w:p>
    <w:p w:rsidR="009F35E4" w:rsidRDefault="009F35E4" w:rsidP="00E0227B">
      <w:pPr>
        <w:ind w:firstLine="1296"/>
        <w:rPr>
          <w:szCs w:val="24"/>
        </w:rPr>
      </w:pPr>
      <w:r>
        <w:rPr>
          <w:szCs w:val="24"/>
        </w:rPr>
        <w:t>Įstaigos pavadinimas: Klaipėdos r. Priekulės vaikų lopšelis-darželis</w:t>
      </w:r>
    </w:p>
    <w:p w:rsidR="009F35E4" w:rsidRDefault="009F35E4" w:rsidP="009F35E4">
      <w:pPr>
        <w:rPr>
          <w:szCs w:val="24"/>
        </w:rPr>
      </w:pPr>
    </w:p>
    <w:p w:rsidR="009F35E4" w:rsidRDefault="009F35E4" w:rsidP="00E0227B">
      <w:pPr>
        <w:ind w:firstLine="1296"/>
        <w:rPr>
          <w:szCs w:val="24"/>
        </w:rPr>
      </w:pPr>
      <w:r>
        <w:rPr>
          <w:szCs w:val="24"/>
        </w:rPr>
        <w:t>Adresas: Lietuvininkų g. 11, LT-96341, Priekulė</w:t>
      </w:r>
    </w:p>
    <w:p w:rsidR="009F35E4" w:rsidRDefault="009F35E4" w:rsidP="009F35E4">
      <w:pPr>
        <w:rPr>
          <w:szCs w:val="24"/>
        </w:rPr>
      </w:pPr>
    </w:p>
    <w:p w:rsidR="009F35E4" w:rsidRDefault="009F35E4" w:rsidP="00E0227B">
      <w:pPr>
        <w:ind w:firstLine="1296"/>
        <w:rPr>
          <w:szCs w:val="24"/>
        </w:rPr>
      </w:pPr>
      <w:r>
        <w:rPr>
          <w:szCs w:val="24"/>
        </w:rPr>
        <w:t xml:space="preserve">Lopšelio-darželio vadovas </w:t>
      </w:r>
      <w:r w:rsidR="000A6BE8">
        <w:rPr>
          <w:szCs w:val="24"/>
        </w:rPr>
        <w:t>– direktorė Irena Skrabienė, II</w:t>
      </w:r>
      <w:r>
        <w:rPr>
          <w:szCs w:val="24"/>
        </w:rPr>
        <w:t xml:space="preserve"> vadybinė kategorija</w:t>
      </w:r>
    </w:p>
    <w:p w:rsidR="009F35E4" w:rsidRDefault="009F35E4" w:rsidP="009F35E4">
      <w:pPr>
        <w:rPr>
          <w:szCs w:val="24"/>
        </w:rPr>
      </w:pPr>
    </w:p>
    <w:p w:rsidR="00F400D8" w:rsidRDefault="009F35E4" w:rsidP="00E0227B">
      <w:pPr>
        <w:ind w:firstLine="1296"/>
        <w:jc w:val="both"/>
        <w:rPr>
          <w:szCs w:val="24"/>
        </w:rPr>
      </w:pPr>
      <w:r>
        <w:rPr>
          <w:szCs w:val="24"/>
        </w:rPr>
        <w:t>Lopšelis-darželis vykdo neformaliojo švietimo programą</w:t>
      </w:r>
      <w:r w:rsidR="00E0227B">
        <w:rPr>
          <w:szCs w:val="24"/>
        </w:rPr>
        <w:t>. Ikimokyklinis ugdymas įstaigoje organizuojamas vadovaujantis lopšelio-darže</w:t>
      </w:r>
      <w:r w:rsidR="007942F3">
        <w:rPr>
          <w:szCs w:val="24"/>
        </w:rPr>
        <w:t>lio sukurta „I</w:t>
      </w:r>
      <w:r w:rsidR="00E0227B">
        <w:rPr>
          <w:szCs w:val="24"/>
        </w:rPr>
        <w:t>kimokyklinio ugdymo programa“</w:t>
      </w:r>
      <w:r w:rsidR="00B81484">
        <w:rPr>
          <w:szCs w:val="24"/>
        </w:rPr>
        <w:t>,</w:t>
      </w:r>
      <w:r w:rsidR="007942F3">
        <w:rPr>
          <w:szCs w:val="24"/>
        </w:rPr>
        <w:t xml:space="preserve"> patvirtinta di</w:t>
      </w:r>
      <w:r w:rsidR="00086782">
        <w:rPr>
          <w:szCs w:val="24"/>
        </w:rPr>
        <w:t>rektoriaus įsakymu Nr. I1-46</w:t>
      </w:r>
      <w:r w:rsidR="00F400D8">
        <w:rPr>
          <w:szCs w:val="24"/>
        </w:rPr>
        <w:t>.</w:t>
      </w:r>
    </w:p>
    <w:p w:rsidR="007E56D2" w:rsidRDefault="00F400D8" w:rsidP="00E0227B">
      <w:pPr>
        <w:ind w:firstLine="1296"/>
        <w:jc w:val="both"/>
        <w:rPr>
          <w:szCs w:val="24"/>
        </w:rPr>
      </w:pPr>
      <w:r>
        <w:rPr>
          <w:szCs w:val="24"/>
        </w:rPr>
        <w:t xml:space="preserve">Lopšelis-darželis dalyvauja tarptautinėje vaikų socialinių įgūdžių ugdymo programoje „Zipio draugai“. Nuo 2005 m. dalyvaujame respublikinėje ikimokyklinių įstaigų darbuotojų asociacijos „Sveikatos želmenėliai“ veikloje, nuo 2006 m. vykdome projektą „V. Šerborne judesio vystymo metodas ir jo taikymas praktikoje“. </w:t>
      </w:r>
    </w:p>
    <w:p w:rsidR="009F35E4" w:rsidRDefault="007E56D2" w:rsidP="00E0227B">
      <w:pPr>
        <w:ind w:firstLine="1296"/>
        <w:jc w:val="both"/>
        <w:rPr>
          <w:szCs w:val="24"/>
        </w:rPr>
      </w:pPr>
      <w:r>
        <w:rPr>
          <w:szCs w:val="24"/>
        </w:rPr>
        <w:t xml:space="preserve">Ugdymas vyksta septyniose ugdymo grupėse: 1 – ankstyvojo amžiaus grupė, 6 – ikimokyklinio ugdymo grupės. Lopšelyje-darželyje ugdomi 136 vaikai. </w:t>
      </w:r>
      <w:r w:rsidR="00E0227B">
        <w:rPr>
          <w:szCs w:val="24"/>
        </w:rPr>
        <w:t xml:space="preserve"> </w:t>
      </w:r>
    </w:p>
    <w:p w:rsidR="00980B4F" w:rsidRDefault="00980B4F" w:rsidP="00E0227B">
      <w:pPr>
        <w:ind w:firstLine="1296"/>
        <w:jc w:val="both"/>
        <w:rPr>
          <w:szCs w:val="24"/>
        </w:rPr>
      </w:pPr>
    </w:p>
    <w:p w:rsidR="00980B4F" w:rsidRDefault="00980B4F" w:rsidP="00E0227B">
      <w:pPr>
        <w:ind w:firstLine="1296"/>
        <w:jc w:val="both"/>
        <w:rPr>
          <w:szCs w:val="24"/>
        </w:rPr>
      </w:pPr>
      <w:r>
        <w:rPr>
          <w:szCs w:val="24"/>
        </w:rPr>
        <w:t>Finansiniai ištekliai: 201</w:t>
      </w:r>
      <w:r w:rsidR="007942F3">
        <w:rPr>
          <w:szCs w:val="24"/>
        </w:rPr>
        <w:t>4</w:t>
      </w:r>
      <w:r>
        <w:rPr>
          <w:szCs w:val="24"/>
        </w:rPr>
        <w:t xml:space="preserve"> metai</w:t>
      </w:r>
      <w:r w:rsidR="0001709B">
        <w:rPr>
          <w:szCs w:val="24"/>
        </w:rPr>
        <w:t>s įstaigos biudžietą sudarė 1155</w:t>
      </w:r>
      <w:r>
        <w:rPr>
          <w:szCs w:val="24"/>
        </w:rPr>
        <w:t>,8 tūkst. Lt finansavimas.</w:t>
      </w:r>
      <w:r w:rsidR="000E3E9A">
        <w:rPr>
          <w:szCs w:val="24"/>
        </w:rPr>
        <w:t xml:space="preserve"> I</w:t>
      </w:r>
      <w:r w:rsidR="0001709B">
        <w:rPr>
          <w:szCs w:val="24"/>
        </w:rPr>
        <w:t>š jų savivaldybės biudžeto – 631,5</w:t>
      </w:r>
      <w:r w:rsidR="000E3E9A">
        <w:rPr>
          <w:szCs w:val="24"/>
        </w:rPr>
        <w:t xml:space="preserve"> tūkst. Lt, </w:t>
      </w:r>
      <w:r w:rsidR="0001709B">
        <w:rPr>
          <w:szCs w:val="24"/>
        </w:rPr>
        <w:t>specialiųjų programų lėšos – 172</w:t>
      </w:r>
      <w:r w:rsidR="00DB36D3">
        <w:rPr>
          <w:szCs w:val="24"/>
        </w:rPr>
        <w:t>,</w:t>
      </w:r>
      <w:r w:rsidR="0001709B">
        <w:rPr>
          <w:szCs w:val="24"/>
        </w:rPr>
        <w:t>4</w:t>
      </w:r>
      <w:r w:rsidR="00DB36D3">
        <w:rPr>
          <w:szCs w:val="24"/>
        </w:rPr>
        <w:t xml:space="preserve"> tūkst. Lt</w:t>
      </w:r>
      <w:r w:rsidR="000E3E9A">
        <w:rPr>
          <w:szCs w:val="24"/>
        </w:rPr>
        <w:t>,</w:t>
      </w:r>
      <w:r w:rsidR="0001709B">
        <w:rPr>
          <w:szCs w:val="24"/>
        </w:rPr>
        <w:t xml:space="preserve"> moksleivio krepšelio lėšos – 340,3 tūkst. Lt, paramos lėšos 11,6</w:t>
      </w:r>
      <w:r w:rsidR="000E3E9A">
        <w:rPr>
          <w:szCs w:val="24"/>
        </w:rPr>
        <w:t xml:space="preserve"> tūkst. Lt.</w:t>
      </w:r>
    </w:p>
    <w:p w:rsidR="000E3E9A" w:rsidRDefault="000E3E9A" w:rsidP="00E0227B">
      <w:pPr>
        <w:ind w:firstLine="1296"/>
        <w:jc w:val="both"/>
        <w:rPr>
          <w:szCs w:val="24"/>
        </w:rPr>
      </w:pPr>
    </w:p>
    <w:p w:rsidR="000E3E9A" w:rsidRDefault="000E3E9A" w:rsidP="00131082">
      <w:pPr>
        <w:ind w:firstLine="1296"/>
        <w:jc w:val="both"/>
        <w:rPr>
          <w:szCs w:val="24"/>
        </w:rPr>
      </w:pPr>
      <w:r>
        <w:rPr>
          <w:szCs w:val="24"/>
        </w:rPr>
        <w:t>Darželiui vadovauj</w:t>
      </w:r>
      <w:r w:rsidR="00922FFD">
        <w:rPr>
          <w:szCs w:val="24"/>
        </w:rPr>
        <w:t>a direktorė</w:t>
      </w:r>
      <w:r w:rsidR="00A20FCC">
        <w:rPr>
          <w:szCs w:val="24"/>
        </w:rPr>
        <w:t xml:space="preserve"> Irena Skrabienė</w:t>
      </w:r>
      <w:r>
        <w:rPr>
          <w:szCs w:val="24"/>
        </w:rPr>
        <w:t>, už ugdymą atsakinga direktoriaus pavaduotoja ugdy</w:t>
      </w:r>
      <w:r w:rsidR="00922FFD">
        <w:rPr>
          <w:szCs w:val="24"/>
        </w:rPr>
        <w:t>mui</w:t>
      </w:r>
      <w:r w:rsidR="00A20FCC">
        <w:rPr>
          <w:szCs w:val="24"/>
        </w:rPr>
        <w:t xml:space="preserve"> Giedrė Bakienė</w:t>
      </w:r>
      <w:r w:rsidR="004D1C7E">
        <w:rPr>
          <w:szCs w:val="24"/>
        </w:rPr>
        <w:t xml:space="preserve">. </w:t>
      </w:r>
      <w:r w:rsidR="00086782">
        <w:rPr>
          <w:szCs w:val="24"/>
        </w:rPr>
        <w:t xml:space="preserve">Lopšelyje-darželyje dirba 15 pedagogų (dirbančių pirmaeilėse ir antraeilėse pareigose), iš kurių </w:t>
      </w:r>
      <w:r w:rsidR="004D1C7E">
        <w:rPr>
          <w:szCs w:val="24"/>
        </w:rPr>
        <w:t>11</w:t>
      </w:r>
      <w:r w:rsidR="00086782">
        <w:rPr>
          <w:szCs w:val="24"/>
        </w:rPr>
        <w:t xml:space="preserve"> atestuoti vyresniojo auklėtojo</w:t>
      </w:r>
      <w:r>
        <w:rPr>
          <w:szCs w:val="24"/>
        </w:rPr>
        <w:t xml:space="preserve"> kvalifik</w:t>
      </w:r>
      <w:r w:rsidR="00086782">
        <w:rPr>
          <w:szCs w:val="24"/>
        </w:rPr>
        <w:t>acinei kategorijai</w:t>
      </w:r>
      <w:r w:rsidR="00131082">
        <w:rPr>
          <w:szCs w:val="24"/>
        </w:rPr>
        <w:t>, 2</w:t>
      </w:r>
      <w:r w:rsidR="00922FFD">
        <w:rPr>
          <w:szCs w:val="24"/>
        </w:rPr>
        <w:t xml:space="preserve"> pedagogai neatestuoti. </w:t>
      </w:r>
      <w:r w:rsidR="00131082">
        <w:rPr>
          <w:szCs w:val="24"/>
        </w:rPr>
        <w:t>V</w:t>
      </w:r>
      <w:r w:rsidR="00922FFD">
        <w:rPr>
          <w:szCs w:val="24"/>
        </w:rPr>
        <w:t>aikų sveikata ir maitinimo organizavimu rūpinasi visuomenės sveikatos priežiūros specialistė</w:t>
      </w:r>
      <w:r w:rsidR="00131082">
        <w:rPr>
          <w:szCs w:val="24"/>
        </w:rPr>
        <w:t xml:space="preserve"> Genovaitė Šližaitienė</w:t>
      </w:r>
      <w:r w:rsidR="001866AE">
        <w:rPr>
          <w:szCs w:val="24"/>
        </w:rPr>
        <w:t>.</w:t>
      </w:r>
      <w:r w:rsidR="00131082">
        <w:rPr>
          <w:szCs w:val="24"/>
        </w:rPr>
        <w:t xml:space="preserve"> Nuo gegužės mėnesio Klaipėdos rajono pedagoginės psichologinės tarnybos psichologė Dainora Bartkienė pradėjo teikti psichologo pagalbą. </w:t>
      </w:r>
    </w:p>
    <w:p w:rsidR="00F34B57" w:rsidRPr="00F34B57" w:rsidRDefault="00F34B57" w:rsidP="00F34B57">
      <w:pPr>
        <w:jc w:val="both"/>
        <w:rPr>
          <w:b/>
          <w:szCs w:val="24"/>
        </w:rPr>
      </w:pPr>
    </w:p>
    <w:p w:rsidR="00F34B57" w:rsidRDefault="00F34B57" w:rsidP="00F34B57">
      <w:pPr>
        <w:jc w:val="both"/>
        <w:rPr>
          <w:b/>
          <w:szCs w:val="24"/>
        </w:rPr>
      </w:pPr>
      <w:r w:rsidRPr="00F34B57">
        <w:rPr>
          <w:b/>
          <w:szCs w:val="24"/>
        </w:rPr>
        <w:t>II</w:t>
      </w:r>
      <w:r>
        <w:rPr>
          <w:b/>
          <w:szCs w:val="24"/>
        </w:rPr>
        <w:t>.</w:t>
      </w:r>
      <w:r w:rsidRPr="00F34B57">
        <w:rPr>
          <w:b/>
          <w:szCs w:val="24"/>
        </w:rPr>
        <w:t xml:space="preserve"> Mokslo metų </w:t>
      </w:r>
      <w:r w:rsidR="00FA7CF2">
        <w:rPr>
          <w:b/>
          <w:szCs w:val="24"/>
        </w:rPr>
        <w:t xml:space="preserve">veiklos </w:t>
      </w:r>
      <w:r w:rsidRPr="00F34B57">
        <w:rPr>
          <w:b/>
          <w:szCs w:val="24"/>
        </w:rPr>
        <w:t>tik</w:t>
      </w:r>
      <w:r w:rsidR="00FA7CF2">
        <w:rPr>
          <w:b/>
          <w:szCs w:val="24"/>
        </w:rPr>
        <w:t>slai ir uždaviniai:</w:t>
      </w:r>
    </w:p>
    <w:p w:rsidR="00F34B57" w:rsidRDefault="00F34B57" w:rsidP="00F34B57">
      <w:pPr>
        <w:jc w:val="both"/>
        <w:rPr>
          <w:b/>
          <w:szCs w:val="24"/>
        </w:rPr>
      </w:pPr>
    </w:p>
    <w:p w:rsidR="00190E03" w:rsidRPr="000C7A57" w:rsidRDefault="00110536" w:rsidP="000C7A57">
      <w:pPr>
        <w:jc w:val="both"/>
        <w:rPr>
          <w:szCs w:val="24"/>
        </w:rPr>
      </w:pPr>
      <w:r>
        <w:rPr>
          <w:szCs w:val="24"/>
        </w:rPr>
        <w:t xml:space="preserve">    </w:t>
      </w:r>
      <w:r w:rsidR="000C7A57">
        <w:rPr>
          <w:szCs w:val="24"/>
        </w:rPr>
        <w:t xml:space="preserve">1. </w:t>
      </w:r>
      <w:r w:rsidR="00F34B57" w:rsidRPr="000C7A57">
        <w:rPr>
          <w:szCs w:val="24"/>
        </w:rPr>
        <w:t>Tikslas</w:t>
      </w:r>
      <w:r w:rsidR="000C7A57" w:rsidRPr="000C7A57">
        <w:rPr>
          <w:szCs w:val="24"/>
        </w:rPr>
        <w:t xml:space="preserve">. </w:t>
      </w:r>
      <w:r w:rsidR="00FA7CF2" w:rsidRPr="000C7A57">
        <w:rPr>
          <w:szCs w:val="24"/>
        </w:rPr>
        <w:t>Stiprinti tradicinius, inicijuoti (plėtoti) naujus lopšelio-darželio ryšius.</w:t>
      </w:r>
    </w:p>
    <w:p w:rsidR="00F34B57" w:rsidRPr="00FA7CF2" w:rsidRDefault="00110536" w:rsidP="00F34B57">
      <w:pPr>
        <w:jc w:val="both"/>
        <w:rPr>
          <w:szCs w:val="24"/>
        </w:rPr>
      </w:pPr>
      <w:r>
        <w:rPr>
          <w:szCs w:val="24"/>
        </w:rPr>
        <w:t xml:space="preserve">    </w:t>
      </w:r>
      <w:r w:rsidR="00F34B57" w:rsidRPr="00FA7CF2">
        <w:rPr>
          <w:szCs w:val="24"/>
        </w:rPr>
        <w:t>Uždaviniai:</w:t>
      </w:r>
    </w:p>
    <w:p w:rsidR="00763D09" w:rsidRDefault="00FA7CF2" w:rsidP="00FA7CF2">
      <w:pPr>
        <w:pStyle w:val="ListParagraph"/>
        <w:numPr>
          <w:ilvl w:val="1"/>
          <w:numId w:val="7"/>
        </w:numPr>
        <w:jc w:val="both"/>
        <w:rPr>
          <w:szCs w:val="24"/>
        </w:rPr>
      </w:pPr>
      <w:r>
        <w:rPr>
          <w:szCs w:val="24"/>
        </w:rPr>
        <w:t xml:space="preserve"> Plėtoti partneriškus santykius su kitomis ugdymo įstaigomis.</w:t>
      </w:r>
    </w:p>
    <w:p w:rsidR="00FA7CF2" w:rsidRDefault="00FA7CF2" w:rsidP="00FA7CF2">
      <w:pPr>
        <w:pStyle w:val="ListParagraph"/>
        <w:numPr>
          <w:ilvl w:val="1"/>
          <w:numId w:val="7"/>
        </w:numPr>
        <w:jc w:val="both"/>
        <w:rPr>
          <w:szCs w:val="24"/>
        </w:rPr>
      </w:pPr>
      <w:r>
        <w:rPr>
          <w:szCs w:val="24"/>
        </w:rPr>
        <w:lastRenderedPageBreak/>
        <w:t xml:space="preserve"> Siekti pedagogo profesinės kompetencijos augimo, vykdyti pedagoginės patirties sklaidą.</w:t>
      </w:r>
    </w:p>
    <w:p w:rsidR="00FA7CF2" w:rsidRDefault="00110536" w:rsidP="002C599C">
      <w:pPr>
        <w:jc w:val="both"/>
        <w:rPr>
          <w:szCs w:val="24"/>
        </w:rPr>
      </w:pPr>
      <w:r>
        <w:rPr>
          <w:szCs w:val="24"/>
        </w:rPr>
        <w:t xml:space="preserve">    </w:t>
      </w:r>
      <w:r w:rsidR="00FA7CF2">
        <w:rPr>
          <w:szCs w:val="24"/>
        </w:rPr>
        <w:t xml:space="preserve">2. </w:t>
      </w:r>
      <w:r w:rsidR="000C7A57">
        <w:rPr>
          <w:szCs w:val="24"/>
        </w:rPr>
        <w:t xml:space="preserve">Tikslas. </w:t>
      </w:r>
      <w:r w:rsidR="00FA7CF2">
        <w:rPr>
          <w:szCs w:val="24"/>
        </w:rPr>
        <w:t>Tobulinti bendruomenės narių santykius.</w:t>
      </w:r>
    </w:p>
    <w:p w:rsidR="00FA7CF2" w:rsidRDefault="00110536" w:rsidP="00110536">
      <w:pPr>
        <w:jc w:val="both"/>
        <w:rPr>
          <w:szCs w:val="24"/>
        </w:rPr>
      </w:pPr>
      <w:r>
        <w:rPr>
          <w:szCs w:val="24"/>
        </w:rPr>
        <w:t xml:space="preserve">    </w:t>
      </w:r>
      <w:r w:rsidR="00FA7CF2">
        <w:rPr>
          <w:szCs w:val="24"/>
        </w:rPr>
        <w:t>Uždaviniai:</w:t>
      </w:r>
    </w:p>
    <w:p w:rsidR="00FA7CF2" w:rsidRDefault="00A67B95" w:rsidP="00FA7CF2">
      <w:pPr>
        <w:pStyle w:val="ListParagraph"/>
        <w:ind w:left="0"/>
        <w:jc w:val="both"/>
        <w:rPr>
          <w:szCs w:val="24"/>
        </w:rPr>
      </w:pPr>
      <w:r>
        <w:rPr>
          <w:szCs w:val="24"/>
        </w:rPr>
        <w:t xml:space="preserve">      2.1</w:t>
      </w:r>
      <w:r w:rsidR="004E6BE5">
        <w:rPr>
          <w:szCs w:val="24"/>
        </w:rPr>
        <w:t xml:space="preserve">. </w:t>
      </w:r>
      <w:r w:rsidR="00FA7CF2">
        <w:rPr>
          <w:szCs w:val="24"/>
        </w:rPr>
        <w:t>Stiprinti pedagogų, ugdytinių ir šeimos pozityvaus bendravimo ir bendradarbiavimo kompetencijas.</w:t>
      </w:r>
    </w:p>
    <w:p w:rsidR="00FA7CF2" w:rsidRPr="00A67B95" w:rsidRDefault="00A67B95" w:rsidP="00A67B95">
      <w:pPr>
        <w:pStyle w:val="ListParagraph"/>
        <w:numPr>
          <w:ilvl w:val="1"/>
          <w:numId w:val="9"/>
        </w:numPr>
        <w:jc w:val="both"/>
        <w:rPr>
          <w:szCs w:val="24"/>
        </w:rPr>
      </w:pPr>
      <w:r>
        <w:rPr>
          <w:szCs w:val="24"/>
        </w:rPr>
        <w:t xml:space="preserve">  </w:t>
      </w:r>
      <w:r w:rsidR="00FA7CF2" w:rsidRPr="00A67B95">
        <w:rPr>
          <w:szCs w:val="24"/>
        </w:rPr>
        <w:t xml:space="preserve"> Teikti kvalifikuotą pagalbą ir paramą naujai pradėjusiems dirbti pedagogams.</w:t>
      </w:r>
    </w:p>
    <w:p w:rsidR="009D1EEB" w:rsidRPr="004E6BE5" w:rsidRDefault="004E6BE5" w:rsidP="004E6BE5">
      <w:pPr>
        <w:jc w:val="both"/>
        <w:rPr>
          <w:szCs w:val="24"/>
        </w:rPr>
      </w:pPr>
      <w:r>
        <w:rPr>
          <w:szCs w:val="24"/>
        </w:rPr>
        <w:t xml:space="preserve">Prioritetas </w:t>
      </w:r>
      <w:r>
        <w:rPr>
          <w:szCs w:val="24"/>
        </w:rPr>
        <w:sym w:font="Symbol" w:char="F02D"/>
      </w:r>
      <w:r>
        <w:rPr>
          <w:szCs w:val="24"/>
        </w:rPr>
        <w:t xml:space="preserve"> įstaigos kultūra.</w:t>
      </w:r>
    </w:p>
    <w:p w:rsidR="009D1EEB" w:rsidRDefault="009D1EEB" w:rsidP="009D1EEB">
      <w:pPr>
        <w:jc w:val="both"/>
        <w:rPr>
          <w:szCs w:val="24"/>
        </w:rPr>
      </w:pPr>
    </w:p>
    <w:p w:rsidR="009D1EEB" w:rsidRDefault="00EE7237" w:rsidP="001A0B5E">
      <w:pPr>
        <w:ind w:firstLine="1290"/>
        <w:jc w:val="both"/>
        <w:rPr>
          <w:szCs w:val="24"/>
        </w:rPr>
      </w:pPr>
      <w:r>
        <w:rPr>
          <w:szCs w:val="24"/>
        </w:rPr>
        <w:t>2014</w:t>
      </w:r>
      <w:r w:rsidR="00B6224D">
        <w:rPr>
          <w:szCs w:val="24"/>
        </w:rPr>
        <w:t>–</w:t>
      </w:r>
      <w:r>
        <w:rPr>
          <w:szCs w:val="24"/>
        </w:rPr>
        <w:t>2015</w:t>
      </w:r>
      <w:r w:rsidR="001A0B5E" w:rsidRPr="001A0B5E">
        <w:rPr>
          <w:szCs w:val="24"/>
        </w:rPr>
        <w:t xml:space="preserve"> m. m. veiklos koky</w:t>
      </w:r>
      <w:r w:rsidR="00876308">
        <w:rPr>
          <w:szCs w:val="24"/>
        </w:rPr>
        <w:t>bės įsivertinimas atliktas vadovaujantis</w:t>
      </w:r>
      <w:r w:rsidR="001A0B5E" w:rsidRPr="001A0B5E">
        <w:rPr>
          <w:szCs w:val="24"/>
        </w:rPr>
        <w:t xml:space="preserve"> Klaipėdos rajono savivaldybės administracijos Švietimo sk</w:t>
      </w:r>
      <w:r w:rsidR="001C5B00">
        <w:rPr>
          <w:szCs w:val="24"/>
        </w:rPr>
        <w:t>yriaus vedėjo</w:t>
      </w:r>
      <w:r w:rsidR="001A0B5E" w:rsidRPr="001A0B5E">
        <w:rPr>
          <w:szCs w:val="24"/>
        </w:rPr>
        <w:t xml:space="preserve"> patvi</w:t>
      </w:r>
      <w:r w:rsidR="009E2944">
        <w:rPr>
          <w:szCs w:val="24"/>
        </w:rPr>
        <w:t>rtintu</w:t>
      </w:r>
      <w:r w:rsidR="001A0B5E" w:rsidRPr="001A0B5E">
        <w:rPr>
          <w:szCs w:val="24"/>
        </w:rPr>
        <w:t xml:space="preserve"> „Neformaliojo švietimo mokyklos veiklos kokybės į</w:t>
      </w:r>
      <w:r w:rsidR="009E2944">
        <w:rPr>
          <w:szCs w:val="24"/>
        </w:rPr>
        <w:t>sivertinimo rekomendacijų aprašu</w:t>
      </w:r>
      <w:r w:rsidR="001A0B5E" w:rsidRPr="001A0B5E">
        <w:rPr>
          <w:szCs w:val="24"/>
        </w:rPr>
        <w:t>“</w:t>
      </w:r>
      <w:r w:rsidR="001C5B00">
        <w:rPr>
          <w:szCs w:val="24"/>
        </w:rPr>
        <w:t xml:space="preserve"> (2013-09-17 Nr. V-61)</w:t>
      </w:r>
      <w:r w:rsidR="001A0B5E" w:rsidRPr="001A0B5E">
        <w:rPr>
          <w:szCs w:val="24"/>
        </w:rPr>
        <w:t>.</w:t>
      </w:r>
    </w:p>
    <w:p w:rsidR="001A0B5E" w:rsidRDefault="001A0B5E" w:rsidP="001A0B5E">
      <w:pPr>
        <w:jc w:val="both"/>
        <w:rPr>
          <w:szCs w:val="24"/>
        </w:rPr>
      </w:pPr>
    </w:p>
    <w:p w:rsidR="001A0B5E" w:rsidRDefault="001A0B5E" w:rsidP="001A0B5E">
      <w:pPr>
        <w:jc w:val="both"/>
        <w:rPr>
          <w:b/>
          <w:szCs w:val="24"/>
        </w:rPr>
      </w:pPr>
      <w:r w:rsidRPr="001A0B5E">
        <w:rPr>
          <w:b/>
          <w:szCs w:val="24"/>
        </w:rPr>
        <w:t xml:space="preserve">III. </w:t>
      </w:r>
      <w:r w:rsidR="00B77E5B">
        <w:rPr>
          <w:b/>
          <w:szCs w:val="24"/>
        </w:rPr>
        <w:t>Įstaigos veiklos kokybės įsivertinimas vyko šiais etapais:</w:t>
      </w:r>
    </w:p>
    <w:p w:rsidR="00B77E5B" w:rsidRDefault="00B77E5B" w:rsidP="001A0B5E">
      <w:pPr>
        <w:jc w:val="both"/>
        <w:rPr>
          <w:b/>
          <w:szCs w:val="24"/>
        </w:rPr>
      </w:pPr>
    </w:p>
    <w:p w:rsidR="00B77E5B" w:rsidRPr="00A91AE8" w:rsidRDefault="00B77E5B" w:rsidP="00A91AE8">
      <w:pPr>
        <w:pStyle w:val="ListParagraph"/>
        <w:numPr>
          <w:ilvl w:val="0"/>
          <w:numId w:val="10"/>
        </w:numPr>
        <w:jc w:val="both"/>
        <w:rPr>
          <w:szCs w:val="24"/>
        </w:rPr>
      </w:pPr>
      <w:r w:rsidRPr="00A91AE8">
        <w:rPr>
          <w:szCs w:val="24"/>
        </w:rPr>
        <w:t>etapas – pasirengimas įsivertinti.</w:t>
      </w:r>
    </w:p>
    <w:p w:rsidR="00B77E5B" w:rsidRPr="00A91AE8" w:rsidRDefault="00B77E5B" w:rsidP="00A91AE8">
      <w:pPr>
        <w:pStyle w:val="ListParagraph"/>
        <w:numPr>
          <w:ilvl w:val="0"/>
          <w:numId w:val="10"/>
        </w:numPr>
        <w:jc w:val="both"/>
        <w:rPr>
          <w:szCs w:val="24"/>
        </w:rPr>
      </w:pPr>
      <w:r w:rsidRPr="00A91AE8">
        <w:rPr>
          <w:szCs w:val="24"/>
        </w:rPr>
        <w:t>etapas – „Platusis“ įsivertinimas;</w:t>
      </w:r>
    </w:p>
    <w:p w:rsidR="00B77E5B" w:rsidRPr="00A91AE8" w:rsidRDefault="00B77E5B" w:rsidP="00A91AE8">
      <w:pPr>
        <w:pStyle w:val="ListParagraph"/>
        <w:numPr>
          <w:ilvl w:val="0"/>
          <w:numId w:val="10"/>
        </w:numPr>
        <w:jc w:val="both"/>
        <w:rPr>
          <w:szCs w:val="24"/>
        </w:rPr>
      </w:pPr>
      <w:r w:rsidRPr="00A91AE8">
        <w:rPr>
          <w:szCs w:val="24"/>
        </w:rPr>
        <w:t>etapas – pasirinktos srities pagalbinio rodiklio giluminis nagrinėjimas ir įsivertinimas.</w:t>
      </w:r>
    </w:p>
    <w:p w:rsidR="00B77E5B" w:rsidRPr="00A91AE8" w:rsidRDefault="00B77E5B" w:rsidP="00A91AE8">
      <w:pPr>
        <w:pStyle w:val="ListParagraph"/>
        <w:numPr>
          <w:ilvl w:val="0"/>
          <w:numId w:val="10"/>
        </w:numPr>
        <w:jc w:val="both"/>
        <w:rPr>
          <w:szCs w:val="24"/>
        </w:rPr>
      </w:pPr>
      <w:r w:rsidRPr="00A91AE8">
        <w:rPr>
          <w:szCs w:val="24"/>
        </w:rPr>
        <w:t>etapas – atsiskaitymas apie atliktas vertinimo procedū</w:t>
      </w:r>
      <w:r w:rsidR="00A91AE8">
        <w:rPr>
          <w:szCs w:val="24"/>
        </w:rPr>
        <w:t xml:space="preserve">ras ir informavimas apie gautas  </w:t>
      </w:r>
      <w:r w:rsidRPr="00A91AE8">
        <w:rPr>
          <w:szCs w:val="24"/>
        </w:rPr>
        <w:t>išvadas.</w:t>
      </w:r>
    </w:p>
    <w:p w:rsidR="00B77E5B" w:rsidRPr="00A91AE8" w:rsidRDefault="00A91AE8" w:rsidP="00A91AE8">
      <w:pPr>
        <w:jc w:val="both"/>
        <w:rPr>
          <w:szCs w:val="24"/>
        </w:rPr>
      </w:pPr>
      <w:r>
        <w:rPr>
          <w:szCs w:val="24"/>
        </w:rPr>
        <w:t xml:space="preserve">      5   </w:t>
      </w:r>
      <w:r w:rsidR="00B77E5B" w:rsidRPr="00A91AE8">
        <w:rPr>
          <w:szCs w:val="24"/>
        </w:rPr>
        <w:t>etapas – rezultatų panaudojimas tolesnės veiklos tobulinimui planuoti.</w:t>
      </w:r>
    </w:p>
    <w:p w:rsidR="00B77E5B" w:rsidRDefault="00B77E5B" w:rsidP="00B77E5B">
      <w:pPr>
        <w:jc w:val="both"/>
        <w:rPr>
          <w:szCs w:val="24"/>
        </w:rPr>
      </w:pPr>
    </w:p>
    <w:p w:rsidR="00A92AFB" w:rsidRDefault="00A92AFB" w:rsidP="00B77E5B">
      <w:pPr>
        <w:jc w:val="both"/>
        <w:rPr>
          <w:b/>
          <w:szCs w:val="24"/>
        </w:rPr>
      </w:pPr>
      <w:r w:rsidRPr="00A92AFB">
        <w:rPr>
          <w:b/>
          <w:szCs w:val="24"/>
        </w:rPr>
        <w:t>IV. „Plačiojo“ audito rezultatai</w:t>
      </w:r>
    </w:p>
    <w:p w:rsidR="00876308" w:rsidRDefault="00876308" w:rsidP="00876308">
      <w:pPr>
        <w:jc w:val="right"/>
        <w:rPr>
          <w:szCs w:val="24"/>
        </w:rPr>
      </w:pPr>
      <w:r>
        <w:rPr>
          <w:szCs w:val="24"/>
        </w:rPr>
        <w:t>1 lentelė</w:t>
      </w:r>
    </w:p>
    <w:tbl>
      <w:tblPr>
        <w:tblStyle w:val="TableGrid"/>
        <w:tblW w:w="0" w:type="auto"/>
        <w:tblLayout w:type="fixed"/>
        <w:tblLook w:val="04A0"/>
      </w:tblPr>
      <w:tblGrid>
        <w:gridCol w:w="1242"/>
        <w:gridCol w:w="1418"/>
        <w:gridCol w:w="1417"/>
        <w:gridCol w:w="1418"/>
        <w:gridCol w:w="1417"/>
        <w:gridCol w:w="1560"/>
        <w:gridCol w:w="1382"/>
      </w:tblGrid>
      <w:tr w:rsidR="00876308" w:rsidTr="00381135">
        <w:tc>
          <w:tcPr>
            <w:tcW w:w="9854" w:type="dxa"/>
            <w:gridSpan w:val="7"/>
          </w:tcPr>
          <w:p w:rsidR="00876308" w:rsidRPr="00876308" w:rsidRDefault="00876308" w:rsidP="00876308">
            <w:pPr>
              <w:jc w:val="center"/>
              <w:rPr>
                <w:b/>
                <w:szCs w:val="24"/>
              </w:rPr>
            </w:pPr>
            <w:r w:rsidRPr="00876308">
              <w:rPr>
                <w:b/>
                <w:szCs w:val="24"/>
              </w:rPr>
              <w:t>Mokyklos veiklos kokybės įsivertinimas naudojant keturių lygių skalę</w:t>
            </w:r>
          </w:p>
          <w:p w:rsidR="00876308" w:rsidRDefault="00876308" w:rsidP="00876308">
            <w:pPr>
              <w:rPr>
                <w:szCs w:val="24"/>
              </w:rPr>
            </w:pPr>
          </w:p>
        </w:tc>
      </w:tr>
      <w:tr w:rsidR="00876308" w:rsidTr="00D01731">
        <w:tc>
          <w:tcPr>
            <w:tcW w:w="2660" w:type="dxa"/>
            <w:gridSpan w:val="2"/>
          </w:tcPr>
          <w:p w:rsidR="00876308" w:rsidRPr="00876308" w:rsidRDefault="00876308" w:rsidP="007013D9">
            <w:pPr>
              <w:jc w:val="center"/>
              <w:rPr>
                <w:b/>
                <w:szCs w:val="24"/>
              </w:rPr>
            </w:pPr>
            <w:r w:rsidRPr="00876308">
              <w:rPr>
                <w:b/>
                <w:szCs w:val="24"/>
              </w:rPr>
              <w:t>Veiklos sritys</w:t>
            </w:r>
          </w:p>
        </w:tc>
        <w:tc>
          <w:tcPr>
            <w:tcW w:w="2835" w:type="dxa"/>
            <w:gridSpan w:val="2"/>
          </w:tcPr>
          <w:p w:rsidR="00876308" w:rsidRPr="00876308" w:rsidRDefault="00876308" w:rsidP="007013D9">
            <w:pPr>
              <w:jc w:val="center"/>
              <w:rPr>
                <w:b/>
                <w:szCs w:val="24"/>
              </w:rPr>
            </w:pPr>
            <w:r w:rsidRPr="00876308">
              <w:rPr>
                <w:b/>
                <w:szCs w:val="24"/>
              </w:rPr>
              <w:t>Veiklos rodikliai</w:t>
            </w:r>
          </w:p>
        </w:tc>
        <w:tc>
          <w:tcPr>
            <w:tcW w:w="2977" w:type="dxa"/>
            <w:gridSpan w:val="2"/>
          </w:tcPr>
          <w:p w:rsidR="00876308" w:rsidRPr="00876308" w:rsidRDefault="00876308" w:rsidP="007013D9">
            <w:pPr>
              <w:jc w:val="center"/>
              <w:rPr>
                <w:b/>
                <w:szCs w:val="24"/>
              </w:rPr>
            </w:pPr>
            <w:r w:rsidRPr="00876308">
              <w:rPr>
                <w:b/>
                <w:szCs w:val="24"/>
              </w:rPr>
              <w:t>Pagalbiniai rodikliai</w:t>
            </w:r>
          </w:p>
        </w:tc>
        <w:tc>
          <w:tcPr>
            <w:tcW w:w="1382" w:type="dxa"/>
            <w:vMerge w:val="restart"/>
          </w:tcPr>
          <w:p w:rsidR="00876308" w:rsidRDefault="00876308" w:rsidP="00876308">
            <w:pPr>
              <w:rPr>
                <w:szCs w:val="24"/>
              </w:rPr>
            </w:pPr>
            <w:r w:rsidRPr="00876308">
              <w:rPr>
                <w:b/>
                <w:szCs w:val="24"/>
              </w:rPr>
              <w:t>Giluminiam auditui atlikti pasirinkti veiklos rodikliai</w:t>
            </w:r>
            <w:r>
              <w:rPr>
                <w:szCs w:val="24"/>
              </w:rPr>
              <w:t xml:space="preserve"> (veiklos problemos)</w:t>
            </w:r>
          </w:p>
          <w:p w:rsidR="00876308" w:rsidRDefault="00876308" w:rsidP="00876308">
            <w:pPr>
              <w:rPr>
                <w:szCs w:val="24"/>
              </w:rPr>
            </w:pPr>
          </w:p>
        </w:tc>
      </w:tr>
      <w:tr w:rsidR="00381135" w:rsidTr="00707018">
        <w:tc>
          <w:tcPr>
            <w:tcW w:w="1242" w:type="dxa"/>
          </w:tcPr>
          <w:p w:rsidR="00876308" w:rsidRPr="00381135" w:rsidRDefault="00876308" w:rsidP="00876308">
            <w:pPr>
              <w:rPr>
                <w:sz w:val="22"/>
              </w:rPr>
            </w:pPr>
            <w:r w:rsidRPr="00381135">
              <w:rPr>
                <w:sz w:val="22"/>
              </w:rPr>
              <w:t>Geriausiai įsivertintos veiklos sritys</w:t>
            </w:r>
          </w:p>
          <w:p w:rsidR="00876308" w:rsidRPr="00381135" w:rsidRDefault="00876308" w:rsidP="00876308">
            <w:pPr>
              <w:rPr>
                <w:sz w:val="22"/>
              </w:rPr>
            </w:pPr>
          </w:p>
        </w:tc>
        <w:tc>
          <w:tcPr>
            <w:tcW w:w="1418" w:type="dxa"/>
          </w:tcPr>
          <w:p w:rsidR="00876308" w:rsidRPr="00381135" w:rsidRDefault="00876308" w:rsidP="00876308">
            <w:pPr>
              <w:rPr>
                <w:sz w:val="22"/>
              </w:rPr>
            </w:pPr>
            <w:r w:rsidRPr="00381135">
              <w:rPr>
                <w:sz w:val="22"/>
              </w:rPr>
              <w:t>Silpniausiai įsivertintos veiklos sritys</w:t>
            </w:r>
          </w:p>
        </w:tc>
        <w:tc>
          <w:tcPr>
            <w:tcW w:w="1417" w:type="dxa"/>
          </w:tcPr>
          <w:p w:rsidR="00876308" w:rsidRPr="00381135" w:rsidRDefault="00876308" w:rsidP="00876308">
            <w:pPr>
              <w:rPr>
                <w:sz w:val="22"/>
              </w:rPr>
            </w:pPr>
            <w:r w:rsidRPr="00381135">
              <w:rPr>
                <w:sz w:val="22"/>
              </w:rPr>
              <w:t>Geriausiai įsivertintos veiklos temos</w:t>
            </w:r>
          </w:p>
        </w:tc>
        <w:tc>
          <w:tcPr>
            <w:tcW w:w="1418" w:type="dxa"/>
          </w:tcPr>
          <w:p w:rsidR="00876308" w:rsidRPr="00381135" w:rsidRDefault="00876308" w:rsidP="00876308">
            <w:pPr>
              <w:rPr>
                <w:sz w:val="22"/>
              </w:rPr>
            </w:pPr>
            <w:r w:rsidRPr="00381135">
              <w:rPr>
                <w:sz w:val="22"/>
              </w:rPr>
              <w:t>Silpniausiai įsivertintos veiklos temos</w:t>
            </w:r>
          </w:p>
        </w:tc>
        <w:tc>
          <w:tcPr>
            <w:tcW w:w="1417" w:type="dxa"/>
          </w:tcPr>
          <w:p w:rsidR="00876308" w:rsidRPr="00381135" w:rsidRDefault="00876308" w:rsidP="00876308">
            <w:pPr>
              <w:rPr>
                <w:sz w:val="22"/>
              </w:rPr>
            </w:pPr>
            <w:r w:rsidRPr="00381135">
              <w:rPr>
                <w:sz w:val="22"/>
              </w:rPr>
              <w:t>Stipriausi veiklos rodikliai</w:t>
            </w:r>
          </w:p>
        </w:tc>
        <w:tc>
          <w:tcPr>
            <w:tcW w:w="1560" w:type="dxa"/>
          </w:tcPr>
          <w:p w:rsidR="00876308" w:rsidRPr="00381135" w:rsidRDefault="00876308" w:rsidP="00876308">
            <w:pPr>
              <w:rPr>
                <w:sz w:val="22"/>
              </w:rPr>
            </w:pPr>
            <w:r w:rsidRPr="00381135">
              <w:rPr>
                <w:sz w:val="22"/>
              </w:rPr>
              <w:t>Silpniausi veiklos rodikliai</w:t>
            </w:r>
          </w:p>
        </w:tc>
        <w:tc>
          <w:tcPr>
            <w:tcW w:w="1382" w:type="dxa"/>
            <w:vMerge/>
          </w:tcPr>
          <w:p w:rsidR="00876308" w:rsidRPr="00381135" w:rsidRDefault="00876308" w:rsidP="00876308">
            <w:pPr>
              <w:rPr>
                <w:sz w:val="22"/>
              </w:rPr>
            </w:pPr>
          </w:p>
        </w:tc>
      </w:tr>
      <w:tr w:rsidR="00381135" w:rsidTr="00707018">
        <w:tc>
          <w:tcPr>
            <w:tcW w:w="1242" w:type="dxa"/>
          </w:tcPr>
          <w:p w:rsidR="00876308" w:rsidRPr="00381135" w:rsidRDefault="00876308" w:rsidP="00876308">
            <w:pPr>
              <w:rPr>
                <w:i/>
                <w:sz w:val="22"/>
              </w:rPr>
            </w:pPr>
            <w:r w:rsidRPr="00381135">
              <w:rPr>
                <w:i/>
                <w:sz w:val="22"/>
              </w:rPr>
              <w:t>1</w:t>
            </w:r>
          </w:p>
        </w:tc>
        <w:tc>
          <w:tcPr>
            <w:tcW w:w="1418" w:type="dxa"/>
          </w:tcPr>
          <w:p w:rsidR="00876308" w:rsidRPr="00381135" w:rsidRDefault="00876308" w:rsidP="00876308">
            <w:pPr>
              <w:rPr>
                <w:i/>
                <w:sz w:val="22"/>
              </w:rPr>
            </w:pPr>
            <w:r w:rsidRPr="00381135">
              <w:rPr>
                <w:i/>
                <w:sz w:val="22"/>
              </w:rPr>
              <w:t>2</w:t>
            </w:r>
          </w:p>
        </w:tc>
        <w:tc>
          <w:tcPr>
            <w:tcW w:w="1417" w:type="dxa"/>
          </w:tcPr>
          <w:p w:rsidR="00876308" w:rsidRPr="00381135" w:rsidRDefault="00876308" w:rsidP="00876308">
            <w:pPr>
              <w:rPr>
                <w:i/>
                <w:sz w:val="22"/>
              </w:rPr>
            </w:pPr>
            <w:r w:rsidRPr="00381135">
              <w:rPr>
                <w:i/>
                <w:sz w:val="22"/>
              </w:rPr>
              <w:t>3</w:t>
            </w:r>
          </w:p>
        </w:tc>
        <w:tc>
          <w:tcPr>
            <w:tcW w:w="1418" w:type="dxa"/>
          </w:tcPr>
          <w:p w:rsidR="00876308" w:rsidRPr="00381135" w:rsidRDefault="00876308" w:rsidP="00876308">
            <w:pPr>
              <w:rPr>
                <w:i/>
                <w:sz w:val="22"/>
              </w:rPr>
            </w:pPr>
            <w:r w:rsidRPr="00381135">
              <w:rPr>
                <w:i/>
                <w:sz w:val="22"/>
              </w:rPr>
              <w:t>4</w:t>
            </w:r>
          </w:p>
        </w:tc>
        <w:tc>
          <w:tcPr>
            <w:tcW w:w="1417" w:type="dxa"/>
          </w:tcPr>
          <w:p w:rsidR="00876308" w:rsidRPr="00381135" w:rsidRDefault="00876308" w:rsidP="00876308">
            <w:pPr>
              <w:rPr>
                <w:i/>
                <w:sz w:val="22"/>
              </w:rPr>
            </w:pPr>
            <w:r w:rsidRPr="00381135">
              <w:rPr>
                <w:i/>
                <w:sz w:val="22"/>
              </w:rPr>
              <w:t>5</w:t>
            </w:r>
          </w:p>
        </w:tc>
        <w:tc>
          <w:tcPr>
            <w:tcW w:w="1560" w:type="dxa"/>
          </w:tcPr>
          <w:p w:rsidR="00876308" w:rsidRPr="00381135" w:rsidRDefault="00876308" w:rsidP="00876308">
            <w:pPr>
              <w:rPr>
                <w:i/>
                <w:sz w:val="22"/>
              </w:rPr>
            </w:pPr>
            <w:r w:rsidRPr="00381135">
              <w:rPr>
                <w:i/>
                <w:sz w:val="22"/>
              </w:rPr>
              <w:t>6</w:t>
            </w:r>
          </w:p>
        </w:tc>
        <w:tc>
          <w:tcPr>
            <w:tcW w:w="1382" w:type="dxa"/>
          </w:tcPr>
          <w:p w:rsidR="00876308" w:rsidRPr="00381135" w:rsidRDefault="00876308" w:rsidP="00876308">
            <w:pPr>
              <w:rPr>
                <w:i/>
                <w:sz w:val="22"/>
              </w:rPr>
            </w:pPr>
            <w:r w:rsidRPr="00381135">
              <w:rPr>
                <w:i/>
                <w:sz w:val="22"/>
              </w:rPr>
              <w:t>7</w:t>
            </w:r>
          </w:p>
        </w:tc>
      </w:tr>
      <w:tr w:rsidR="00D01731" w:rsidTr="00707018">
        <w:tc>
          <w:tcPr>
            <w:tcW w:w="1242" w:type="dxa"/>
          </w:tcPr>
          <w:p w:rsidR="00D01731" w:rsidRPr="00381135" w:rsidRDefault="00D01731" w:rsidP="00876308">
            <w:pPr>
              <w:rPr>
                <w:sz w:val="22"/>
              </w:rPr>
            </w:pPr>
            <w:r w:rsidRPr="00381135">
              <w:rPr>
                <w:sz w:val="22"/>
              </w:rPr>
              <w:t>4. Parama ir pagalba</w:t>
            </w:r>
            <w:r>
              <w:rPr>
                <w:sz w:val="22"/>
              </w:rPr>
              <w:t xml:space="preserve"> vaikui,</w:t>
            </w:r>
            <w:r w:rsidRPr="00381135">
              <w:rPr>
                <w:sz w:val="22"/>
              </w:rPr>
              <w:t xml:space="preserve"> šeimai</w:t>
            </w:r>
          </w:p>
          <w:p w:rsidR="00D01731" w:rsidRPr="00381135" w:rsidRDefault="00D01731" w:rsidP="00876308">
            <w:pPr>
              <w:rPr>
                <w:sz w:val="22"/>
              </w:rPr>
            </w:pPr>
          </w:p>
        </w:tc>
        <w:tc>
          <w:tcPr>
            <w:tcW w:w="1418" w:type="dxa"/>
          </w:tcPr>
          <w:p w:rsidR="00D01731" w:rsidRPr="00381135" w:rsidRDefault="00D01731" w:rsidP="00876308">
            <w:pPr>
              <w:rPr>
                <w:sz w:val="22"/>
              </w:rPr>
            </w:pPr>
            <w:r>
              <w:rPr>
                <w:sz w:val="22"/>
              </w:rPr>
              <w:t>3. Vaiko ugdymo(si) pasiekimai</w:t>
            </w:r>
          </w:p>
        </w:tc>
        <w:tc>
          <w:tcPr>
            <w:tcW w:w="1417" w:type="dxa"/>
          </w:tcPr>
          <w:p w:rsidR="00D01731" w:rsidRDefault="00D01731" w:rsidP="00876308">
            <w:pPr>
              <w:rPr>
                <w:sz w:val="22"/>
              </w:rPr>
            </w:pPr>
            <w:r>
              <w:rPr>
                <w:sz w:val="22"/>
              </w:rPr>
              <w:t>2.1. Ugdymo turinys</w:t>
            </w:r>
          </w:p>
          <w:p w:rsidR="00D01731" w:rsidRDefault="00D01731" w:rsidP="00876308">
            <w:pPr>
              <w:rPr>
                <w:sz w:val="22"/>
              </w:rPr>
            </w:pPr>
          </w:p>
          <w:p w:rsidR="00D01731" w:rsidRPr="00381135" w:rsidRDefault="00D01731" w:rsidP="00876308">
            <w:pPr>
              <w:rPr>
                <w:sz w:val="22"/>
              </w:rPr>
            </w:pPr>
            <w:r>
              <w:rPr>
                <w:sz w:val="22"/>
              </w:rPr>
              <w:t>4.1. Vaiko teisių garantavimas ir atstovavimas</w:t>
            </w:r>
          </w:p>
        </w:tc>
        <w:tc>
          <w:tcPr>
            <w:tcW w:w="1418" w:type="dxa"/>
          </w:tcPr>
          <w:p w:rsidR="00D01731" w:rsidRDefault="00D01731" w:rsidP="002005B9">
            <w:pPr>
              <w:rPr>
                <w:sz w:val="22"/>
              </w:rPr>
            </w:pPr>
            <w:r>
              <w:rPr>
                <w:sz w:val="22"/>
              </w:rPr>
              <w:t>2.2.</w:t>
            </w:r>
          </w:p>
          <w:p w:rsidR="00D01731" w:rsidRPr="00381135" w:rsidRDefault="00D01731" w:rsidP="002005B9">
            <w:pPr>
              <w:rPr>
                <w:sz w:val="22"/>
              </w:rPr>
            </w:pPr>
            <w:r>
              <w:rPr>
                <w:sz w:val="22"/>
              </w:rPr>
              <w:t>Ugdymo(si) turinio planavimas</w:t>
            </w:r>
          </w:p>
          <w:p w:rsidR="00D01731" w:rsidRPr="00381135" w:rsidRDefault="00D01731" w:rsidP="002005B9">
            <w:pPr>
              <w:rPr>
                <w:sz w:val="22"/>
              </w:rPr>
            </w:pPr>
          </w:p>
          <w:p w:rsidR="00D01731" w:rsidRPr="00381135" w:rsidRDefault="00D01731" w:rsidP="002005B9">
            <w:pPr>
              <w:rPr>
                <w:sz w:val="22"/>
              </w:rPr>
            </w:pPr>
            <w:r>
              <w:rPr>
                <w:sz w:val="22"/>
              </w:rPr>
              <w:t>3.1. Vaiko raidos ir pasiekimų vertinimas</w:t>
            </w:r>
          </w:p>
        </w:tc>
        <w:tc>
          <w:tcPr>
            <w:tcW w:w="1417" w:type="dxa"/>
          </w:tcPr>
          <w:p w:rsidR="00D01731" w:rsidRDefault="00D01731" w:rsidP="00876308">
            <w:pPr>
              <w:rPr>
                <w:sz w:val="22"/>
              </w:rPr>
            </w:pPr>
            <w:r>
              <w:rPr>
                <w:sz w:val="22"/>
              </w:rPr>
              <w:t>1.1.2. Aplinkos svetingumas, saugumas, estetika</w:t>
            </w:r>
          </w:p>
          <w:p w:rsidR="00D01731" w:rsidRDefault="00D01731" w:rsidP="00876308">
            <w:pPr>
              <w:rPr>
                <w:sz w:val="22"/>
              </w:rPr>
            </w:pPr>
          </w:p>
          <w:p w:rsidR="00D01731" w:rsidRPr="00381135" w:rsidRDefault="00D01731" w:rsidP="00876308">
            <w:pPr>
              <w:rPr>
                <w:sz w:val="22"/>
              </w:rPr>
            </w:pPr>
            <w:r>
              <w:rPr>
                <w:sz w:val="22"/>
              </w:rPr>
              <w:t>2.1.4. Ugdymo(si) aplinkos, priemonių atitiktis vaikų amžiui, poreikiams bei interesams</w:t>
            </w:r>
          </w:p>
        </w:tc>
        <w:tc>
          <w:tcPr>
            <w:tcW w:w="1560" w:type="dxa"/>
          </w:tcPr>
          <w:p w:rsidR="00707018" w:rsidRDefault="00707018" w:rsidP="00876308">
            <w:pPr>
              <w:rPr>
                <w:sz w:val="22"/>
              </w:rPr>
            </w:pPr>
            <w:r>
              <w:rPr>
                <w:sz w:val="22"/>
              </w:rPr>
              <w:t>2.2.3. Metodinė pagalba planavimui</w:t>
            </w:r>
          </w:p>
          <w:p w:rsidR="00707018" w:rsidRDefault="00707018" w:rsidP="00876308">
            <w:pPr>
              <w:rPr>
                <w:sz w:val="22"/>
              </w:rPr>
            </w:pPr>
          </w:p>
          <w:p w:rsidR="00D01731" w:rsidRPr="00381135" w:rsidRDefault="00D01731" w:rsidP="00876308">
            <w:pPr>
              <w:rPr>
                <w:sz w:val="22"/>
              </w:rPr>
            </w:pPr>
            <w:r>
              <w:rPr>
                <w:sz w:val="22"/>
              </w:rPr>
              <w:t>3.1.2. Mokytojų ir tėvų veiklos dermė skatinant vaiko pasiekimus ir juos vertinant (vertinimas kaip informavimas)</w:t>
            </w:r>
          </w:p>
        </w:tc>
        <w:tc>
          <w:tcPr>
            <w:tcW w:w="1382" w:type="dxa"/>
          </w:tcPr>
          <w:p w:rsidR="00D01731" w:rsidRDefault="00D01731" w:rsidP="00876308">
            <w:pPr>
              <w:rPr>
                <w:b/>
                <w:sz w:val="20"/>
                <w:szCs w:val="20"/>
              </w:rPr>
            </w:pPr>
            <w:r>
              <w:rPr>
                <w:b/>
                <w:sz w:val="22"/>
              </w:rPr>
              <w:t>2.2.2. Planavimo procedūrų kokybė</w:t>
            </w:r>
            <w:r w:rsidRPr="00381135">
              <w:rPr>
                <w:b/>
                <w:sz w:val="22"/>
              </w:rPr>
              <w:t xml:space="preserve"> </w:t>
            </w:r>
          </w:p>
          <w:p w:rsidR="00707018" w:rsidRDefault="00707018" w:rsidP="00876308">
            <w:pPr>
              <w:rPr>
                <w:b/>
                <w:sz w:val="20"/>
                <w:szCs w:val="20"/>
              </w:rPr>
            </w:pPr>
          </w:p>
          <w:p w:rsidR="00D01731" w:rsidRPr="006864D7" w:rsidRDefault="00D01731" w:rsidP="00876308">
            <w:pPr>
              <w:rPr>
                <w:b/>
                <w:sz w:val="22"/>
              </w:rPr>
            </w:pPr>
            <w:r w:rsidRPr="006864D7">
              <w:rPr>
                <w:b/>
                <w:sz w:val="22"/>
              </w:rPr>
              <w:t>2.2.3. Metodinė pagalba planuojant</w:t>
            </w:r>
          </w:p>
        </w:tc>
      </w:tr>
    </w:tbl>
    <w:p w:rsidR="00876308" w:rsidRPr="00A92AFB" w:rsidRDefault="00876308" w:rsidP="00876308">
      <w:pPr>
        <w:rPr>
          <w:szCs w:val="24"/>
        </w:rPr>
      </w:pPr>
    </w:p>
    <w:p w:rsidR="001A0B5E" w:rsidRDefault="007013D9" w:rsidP="001A0B5E">
      <w:pPr>
        <w:jc w:val="both"/>
        <w:rPr>
          <w:b/>
          <w:szCs w:val="24"/>
        </w:rPr>
      </w:pPr>
      <w:r w:rsidRPr="007013D9">
        <w:rPr>
          <w:b/>
          <w:szCs w:val="24"/>
        </w:rPr>
        <w:t>V. Pasirinktos vertinimo sritys „Giluminiam“ auditui</w:t>
      </w:r>
      <w:r w:rsidR="0062170A">
        <w:rPr>
          <w:b/>
          <w:szCs w:val="24"/>
        </w:rPr>
        <w:t xml:space="preserve"> atlikti</w:t>
      </w:r>
    </w:p>
    <w:p w:rsidR="007013D9" w:rsidRPr="007013D9" w:rsidRDefault="007013D9" w:rsidP="007013D9">
      <w:pPr>
        <w:jc w:val="right"/>
        <w:rPr>
          <w:szCs w:val="24"/>
        </w:rPr>
      </w:pPr>
      <w:r w:rsidRPr="007013D9">
        <w:rPr>
          <w:szCs w:val="24"/>
        </w:rPr>
        <w:t>2 lentelė</w:t>
      </w:r>
    </w:p>
    <w:tbl>
      <w:tblPr>
        <w:tblStyle w:val="TableGrid"/>
        <w:tblW w:w="0" w:type="auto"/>
        <w:tblLook w:val="04A0"/>
      </w:tblPr>
      <w:tblGrid>
        <w:gridCol w:w="3284"/>
        <w:gridCol w:w="3285"/>
        <w:gridCol w:w="3285"/>
      </w:tblGrid>
      <w:tr w:rsidR="007013D9" w:rsidTr="007013D9">
        <w:tc>
          <w:tcPr>
            <w:tcW w:w="3284" w:type="dxa"/>
          </w:tcPr>
          <w:p w:rsidR="007013D9" w:rsidRPr="007013D9" w:rsidRDefault="007013D9" w:rsidP="007013D9">
            <w:pPr>
              <w:jc w:val="center"/>
              <w:rPr>
                <w:b/>
                <w:szCs w:val="24"/>
              </w:rPr>
            </w:pPr>
            <w:r w:rsidRPr="007013D9">
              <w:rPr>
                <w:b/>
                <w:szCs w:val="24"/>
              </w:rPr>
              <w:t>Veiklos sritis</w:t>
            </w:r>
          </w:p>
        </w:tc>
        <w:tc>
          <w:tcPr>
            <w:tcW w:w="3285" w:type="dxa"/>
          </w:tcPr>
          <w:p w:rsidR="007013D9" w:rsidRPr="007013D9" w:rsidRDefault="007013D9" w:rsidP="007013D9">
            <w:pPr>
              <w:jc w:val="center"/>
              <w:rPr>
                <w:b/>
                <w:szCs w:val="24"/>
              </w:rPr>
            </w:pPr>
            <w:r w:rsidRPr="007013D9">
              <w:rPr>
                <w:b/>
                <w:szCs w:val="24"/>
              </w:rPr>
              <w:t>Veiklos rodikliai</w:t>
            </w:r>
          </w:p>
        </w:tc>
        <w:tc>
          <w:tcPr>
            <w:tcW w:w="3285" w:type="dxa"/>
          </w:tcPr>
          <w:p w:rsidR="007013D9" w:rsidRPr="007013D9" w:rsidRDefault="007013D9" w:rsidP="007013D9">
            <w:pPr>
              <w:jc w:val="center"/>
              <w:rPr>
                <w:b/>
                <w:szCs w:val="24"/>
              </w:rPr>
            </w:pPr>
            <w:r w:rsidRPr="007013D9">
              <w:rPr>
                <w:b/>
                <w:szCs w:val="24"/>
              </w:rPr>
              <w:t>Tirti pagalbiniai rodikliai</w:t>
            </w:r>
          </w:p>
        </w:tc>
      </w:tr>
      <w:tr w:rsidR="007013D9" w:rsidTr="007013D9">
        <w:tc>
          <w:tcPr>
            <w:tcW w:w="3284" w:type="dxa"/>
          </w:tcPr>
          <w:p w:rsidR="007013D9" w:rsidRPr="007013D9" w:rsidRDefault="00707018" w:rsidP="007013D9">
            <w:pPr>
              <w:rPr>
                <w:szCs w:val="24"/>
              </w:rPr>
            </w:pPr>
            <w:r>
              <w:rPr>
                <w:szCs w:val="24"/>
              </w:rPr>
              <w:t>2. Vaiko ugdymas ir ugdymasis</w:t>
            </w:r>
          </w:p>
        </w:tc>
        <w:tc>
          <w:tcPr>
            <w:tcW w:w="3285" w:type="dxa"/>
          </w:tcPr>
          <w:p w:rsidR="007013D9" w:rsidRDefault="00707018" w:rsidP="001A0B5E">
            <w:pPr>
              <w:jc w:val="both"/>
              <w:rPr>
                <w:szCs w:val="24"/>
              </w:rPr>
            </w:pPr>
            <w:r>
              <w:rPr>
                <w:szCs w:val="24"/>
              </w:rPr>
              <w:t>2.2. Ugdymo(si) turinio planavimas</w:t>
            </w:r>
          </w:p>
        </w:tc>
        <w:tc>
          <w:tcPr>
            <w:tcW w:w="3285" w:type="dxa"/>
          </w:tcPr>
          <w:p w:rsidR="007013D9" w:rsidRDefault="00557B5D" w:rsidP="001A0B5E">
            <w:pPr>
              <w:jc w:val="both"/>
              <w:rPr>
                <w:szCs w:val="24"/>
              </w:rPr>
            </w:pPr>
            <w:r>
              <w:rPr>
                <w:szCs w:val="24"/>
              </w:rPr>
              <w:t xml:space="preserve">2.2.2. </w:t>
            </w:r>
            <w:r w:rsidR="00707018">
              <w:rPr>
                <w:szCs w:val="24"/>
              </w:rPr>
              <w:t>Planavimo procedūrų kokybė</w:t>
            </w:r>
          </w:p>
          <w:p w:rsidR="00707018" w:rsidRDefault="00557B5D" w:rsidP="001A0B5E">
            <w:pPr>
              <w:jc w:val="both"/>
              <w:rPr>
                <w:szCs w:val="24"/>
              </w:rPr>
            </w:pPr>
            <w:r>
              <w:rPr>
                <w:szCs w:val="24"/>
              </w:rPr>
              <w:t xml:space="preserve">2.2.3. </w:t>
            </w:r>
            <w:r w:rsidR="00707018">
              <w:rPr>
                <w:szCs w:val="24"/>
              </w:rPr>
              <w:t>Metodinė pagalba</w:t>
            </w:r>
            <w:r>
              <w:rPr>
                <w:szCs w:val="24"/>
              </w:rPr>
              <w:t xml:space="preserve"> planavimui</w:t>
            </w:r>
          </w:p>
        </w:tc>
      </w:tr>
    </w:tbl>
    <w:p w:rsidR="0062170A" w:rsidRDefault="0062170A" w:rsidP="001A0B5E">
      <w:pPr>
        <w:jc w:val="both"/>
        <w:rPr>
          <w:szCs w:val="24"/>
        </w:rPr>
      </w:pPr>
    </w:p>
    <w:p w:rsidR="0062170A" w:rsidRDefault="0062170A" w:rsidP="00DC33F9">
      <w:pPr>
        <w:jc w:val="both"/>
        <w:rPr>
          <w:b/>
          <w:szCs w:val="24"/>
        </w:rPr>
      </w:pPr>
      <w:r w:rsidRPr="0062170A">
        <w:rPr>
          <w:b/>
          <w:szCs w:val="24"/>
        </w:rPr>
        <w:t>VI. Išvados</w:t>
      </w:r>
    </w:p>
    <w:p w:rsidR="0062170A" w:rsidRPr="0062170A" w:rsidRDefault="0062170A" w:rsidP="0062170A">
      <w:pPr>
        <w:jc w:val="right"/>
        <w:rPr>
          <w:szCs w:val="24"/>
        </w:rPr>
      </w:pPr>
      <w:r w:rsidRPr="0062170A">
        <w:rPr>
          <w:szCs w:val="24"/>
        </w:rPr>
        <w:t>3 lentelė</w:t>
      </w:r>
    </w:p>
    <w:tbl>
      <w:tblPr>
        <w:tblStyle w:val="TableGrid"/>
        <w:tblW w:w="0" w:type="auto"/>
        <w:tblLook w:val="04A0"/>
      </w:tblPr>
      <w:tblGrid>
        <w:gridCol w:w="4927"/>
        <w:gridCol w:w="4927"/>
      </w:tblGrid>
      <w:tr w:rsidR="0062170A" w:rsidTr="0062170A">
        <w:tc>
          <w:tcPr>
            <w:tcW w:w="4927" w:type="dxa"/>
          </w:tcPr>
          <w:p w:rsidR="0062170A" w:rsidRPr="0062170A" w:rsidRDefault="0062170A" w:rsidP="001A0B5E">
            <w:pPr>
              <w:jc w:val="both"/>
              <w:rPr>
                <w:b/>
                <w:szCs w:val="24"/>
              </w:rPr>
            </w:pPr>
            <w:r w:rsidRPr="0062170A">
              <w:rPr>
                <w:b/>
                <w:szCs w:val="24"/>
              </w:rPr>
              <w:t>Veiklos privalumai</w:t>
            </w:r>
          </w:p>
        </w:tc>
        <w:tc>
          <w:tcPr>
            <w:tcW w:w="4927" w:type="dxa"/>
          </w:tcPr>
          <w:p w:rsidR="0062170A" w:rsidRPr="0062170A" w:rsidRDefault="0062170A" w:rsidP="001A0B5E">
            <w:pPr>
              <w:jc w:val="both"/>
              <w:rPr>
                <w:b/>
                <w:szCs w:val="24"/>
              </w:rPr>
            </w:pPr>
            <w:r w:rsidRPr="0062170A">
              <w:rPr>
                <w:b/>
                <w:szCs w:val="24"/>
              </w:rPr>
              <w:t>Veiklos trūkumai</w:t>
            </w:r>
          </w:p>
        </w:tc>
      </w:tr>
      <w:tr w:rsidR="0062170A" w:rsidTr="0048141E">
        <w:trPr>
          <w:trHeight w:val="2535"/>
        </w:trPr>
        <w:tc>
          <w:tcPr>
            <w:tcW w:w="4927" w:type="dxa"/>
          </w:tcPr>
          <w:p w:rsidR="00062923" w:rsidRDefault="007629BE" w:rsidP="0048141E">
            <w:pPr>
              <w:jc w:val="both"/>
              <w:rPr>
                <w:szCs w:val="24"/>
              </w:rPr>
            </w:pPr>
            <w:r>
              <w:rPr>
                <w:szCs w:val="24"/>
              </w:rPr>
              <w:t xml:space="preserve">      </w:t>
            </w:r>
            <w:r w:rsidR="00085BF2">
              <w:rPr>
                <w:szCs w:val="24"/>
              </w:rPr>
              <w:t>Ištyrus pagalbinį rodiklį</w:t>
            </w:r>
            <w:r w:rsidR="0062170A">
              <w:rPr>
                <w:szCs w:val="24"/>
              </w:rPr>
              <w:t xml:space="preserve"> </w:t>
            </w:r>
            <w:r w:rsidR="00085BF2">
              <w:rPr>
                <w:szCs w:val="24"/>
              </w:rPr>
              <w:t xml:space="preserve">2.2.2. Planavimo procedūrų kokybė </w:t>
            </w:r>
            <w:r w:rsidR="006A76E3">
              <w:rPr>
                <w:szCs w:val="24"/>
              </w:rPr>
              <w:t xml:space="preserve">galima teigti, kad </w:t>
            </w:r>
            <w:r w:rsidR="00AF7CE3">
              <w:rPr>
                <w:szCs w:val="24"/>
              </w:rPr>
              <w:t xml:space="preserve"> </w:t>
            </w:r>
            <w:r w:rsidR="00582895">
              <w:rPr>
                <w:szCs w:val="24"/>
              </w:rPr>
              <w:t>planuojant ugdymo turinį remiamasi įstaigos parengta „Ikimokyklinio ugdymo programa“. P</w:t>
            </w:r>
            <w:r w:rsidR="00AF7CE3">
              <w:rPr>
                <w:szCs w:val="24"/>
              </w:rPr>
              <w:t xml:space="preserve">lanuojant ugdymo procesą dalyvauja </w:t>
            </w:r>
            <w:r w:rsidR="00A53F5D">
              <w:rPr>
                <w:szCs w:val="24"/>
              </w:rPr>
              <w:t>ugdytiniai, pedagogai, ugdytinių</w:t>
            </w:r>
            <w:r w:rsidR="00AF7CE3">
              <w:rPr>
                <w:szCs w:val="24"/>
              </w:rPr>
              <w:t xml:space="preserve"> tėvai. Daugumos pedagogų planai yra integralūs, lankstūs, orientuoti į vaikų poreikius, interesus, gebėjimus bei visuminį vaiko ugdymą. </w:t>
            </w:r>
            <w:r w:rsidR="0048141E">
              <w:rPr>
                <w:szCs w:val="24"/>
              </w:rPr>
              <w:t xml:space="preserve">Į ugdymo turinį integruojamos papildomos socialinių įgūdžių ugdymo programos, muzikinė veikla, fizinis aktyvumas. Kiekvienoje grupėje vykdoma projektinė veikla, kuri skatina ugdytojų ir tėvų tarpusavio bendravimą ir bendradarbiavimą. Pedagogai kartu su vaikais ir jų tėveliais </w:t>
            </w:r>
            <w:r w:rsidR="0077699C">
              <w:rPr>
                <w:szCs w:val="24"/>
              </w:rPr>
              <w:t xml:space="preserve">aktyviai </w:t>
            </w:r>
            <w:r w:rsidR="0048141E">
              <w:rPr>
                <w:szCs w:val="24"/>
              </w:rPr>
              <w:t xml:space="preserve">dalyvauja respublikiniuose konkursuose, akcijose. Planuojama veikla atitinka vaikų poreikius yra integrali, lanksti prisitaikanti prie vaikų amžiaus, gebėjimų.  </w:t>
            </w:r>
          </w:p>
          <w:p w:rsidR="00F5147C" w:rsidRDefault="00F5147C" w:rsidP="0048141E">
            <w:pPr>
              <w:jc w:val="both"/>
              <w:rPr>
                <w:szCs w:val="24"/>
              </w:rPr>
            </w:pPr>
          </w:p>
        </w:tc>
        <w:tc>
          <w:tcPr>
            <w:tcW w:w="4927" w:type="dxa"/>
          </w:tcPr>
          <w:p w:rsidR="0034748C" w:rsidRDefault="0034748C" w:rsidP="007629BE">
            <w:pPr>
              <w:jc w:val="both"/>
              <w:rPr>
                <w:szCs w:val="24"/>
              </w:rPr>
            </w:pPr>
            <w:r>
              <w:rPr>
                <w:szCs w:val="24"/>
              </w:rPr>
              <w:t xml:space="preserve">      </w:t>
            </w:r>
            <w:r w:rsidR="0077699C">
              <w:rPr>
                <w:szCs w:val="24"/>
              </w:rPr>
              <w:t>Atlikus anketinę apklausą dėl planavimo procedūrų kokybės</w:t>
            </w:r>
            <w:r w:rsidR="00D05B63">
              <w:rPr>
                <w:szCs w:val="24"/>
              </w:rPr>
              <w:t>,</w:t>
            </w:r>
            <w:r w:rsidR="0077699C">
              <w:rPr>
                <w:szCs w:val="24"/>
              </w:rPr>
              <w:t xml:space="preserve"> pedagogų ir tėvų </w:t>
            </w:r>
            <w:r w:rsidR="00D05B63">
              <w:rPr>
                <w:szCs w:val="24"/>
              </w:rPr>
              <w:t>teigimu yra siektina ieškoti ugdymo metodų, kurie skatintų vaikų kūrybiškumą, spontanišką veiklą.</w:t>
            </w:r>
            <w:r w:rsidR="0077699C">
              <w:rPr>
                <w:szCs w:val="24"/>
              </w:rPr>
              <w:t xml:space="preserve"> </w:t>
            </w:r>
            <w:r w:rsidR="007629BE">
              <w:rPr>
                <w:szCs w:val="24"/>
              </w:rPr>
              <w:t xml:space="preserve">  </w:t>
            </w:r>
          </w:p>
          <w:p w:rsidR="0034748C" w:rsidRDefault="0034748C" w:rsidP="007629BE">
            <w:pPr>
              <w:jc w:val="both"/>
              <w:rPr>
                <w:szCs w:val="24"/>
              </w:rPr>
            </w:pPr>
          </w:p>
          <w:p w:rsidR="0034748C" w:rsidRDefault="0034748C" w:rsidP="007629BE">
            <w:pPr>
              <w:jc w:val="both"/>
              <w:rPr>
                <w:szCs w:val="24"/>
              </w:rPr>
            </w:pPr>
          </w:p>
          <w:p w:rsidR="0034748C" w:rsidRDefault="0034748C" w:rsidP="007629BE">
            <w:pPr>
              <w:jc w:val="both"/>
              <w:rPr>
                <w:szCs w:val="24"/>
              </w:rPr>
            </w:pPr>
          </w:p>
          <w:p w:rsidR="0034748C" w:rsidRDefault="0034748C" w:rsidP="007629BE">
            <w:pPr>
              <w:jc w:val="both"/>
              <w:rPr>
                <w:szCs w:val="24"/>
              </w:rPr>
            </w:pPr>
          </w:p>
          <w:p w:rsidR="0034748C" w:rsidRDefault="0034748C" w:rsidP="007629BE">
            <w:pPr>
              <w:jc w:val="both"/>
              <w:rPr>
                <w:szCs w:val="24"/>
              </w:rPr>
            </w:pPr>
          </w:p>
          <w:p w:rsidR="00062923" w:rsidRDefault="00062923" w:rsidP="007629BE">
            <w:pPr>
              <w:jc w:val="both"/>
              <w:rPr>
                <w:szCs w:val="24"/>
              </w:rPr>
            </w:pPr>
          </w:p>
        </w:tc>
      </w:tr>
      <w:tr w:rsidR="0048141E" w:rsidTr="0062170A">
        <w:trPr>
          <w:trHeight w:val="225"/>
        </w:trPr>
        <w:tc>
          <w:tcPr>
            <w:tcW w:w="4927" w:type="dxa"/>
          </w:tcPr>
          <w:p w:rsidR="0048141E" w:rsidRDefault="007629BE" w:rsidP="001A0B5E">
            <w:pPr>
              <w:jc w:val="both"/>
              <w:rPr>
                <w:szCs w:val="24"/>
              </w:rPr>
            </w:pPr>
            <w:r>
              <w:rPr>
                <w:szCs w:val="24"/>
              </w:rPr>
              <w:t xml:space="preserve">      Ištyrus pagalbinį rodiklį 2.2.3. </w:t>
            </w:r>
            <w:r w:rsidR="009F35F9">
              <w:rPr>
                <w:szCs w:val="24"/>
              </w:rPr>
              <w:t xml:space="preserve">Metodinė pagalba planavimui galima teigti, kad įstaigoje kaupiama metodinė literatūra ir informacinė medžiaga planavimo klausimais. Esant galimybei ji atnaujinama. Sistemingai pedagogams teikiamos rekomendacijos planavimo klausimais, pagal poreikį </w:t>
            </w:r>
            <w:r w:rsidR="009F35F9">
              <w:rPr>
                <w:szCs w:val="24"/>
              </w:rPr>
              <w:sym w:font="Symbol" w:char="F02D"/>
            </w:r>
            <w:r w:rsidR="009F35F9">
              <w:rPr>
                <w:szCs w:val="24"/>
              </w:rPr>
              <w:t xml:space="preserve"> individualios konsultacijos. </w:t>
            </w:r>
            <w:r w:rsidR="00167F9A">
              <w:rPr>
                <w:szCs w:val="24"/>
              </w:rPr>
              <w:t xml:space="preserve">Jauniems pedagogams gerinti profesines kompetencijas padeda paskirti mentoriai. </w:t>
            </w:r>
            <w:r w:rsidR="009F35F9">
              <w:rPr>
                <w:szCs w:val="24"/>
              </w:rPr>
              <w:t>Skatinama dalytis pažangiąja patirtimi, rodant atviras veiklas rajono, įstaigos pedagogams.</w:t>
            </w:r>
            <w:r w:rsidR="00167F9A">
              <w:rPr>
                <w:szCs w:val="24"/>
              </w:rPr>
              <w:t xml:space="preserve"> Sukaupta pedagogine patirtimi dalijamasi respublikinėje ir rajoninėje spaudoje.</w:t>
            </w:r>
          </w:p>
          <w:p w:rsidR="009E57AF" w:rsidRDefault="009E57AF" w:rsidP="001A0B5E">
            <w:pPr>
              <w:jc w:val="both"/>
              <w:rPr>
                <w:szCs w:val="24"/>
              </w:rPr>
            </w:pPr>
          </w:p>
        </w:tc>
        <w:tc>
          <w:tcPr>
            <w:tcW w:w="4927" w:type="dxa"/>
          </w:tcPr>
          <w:p w:rsidR="00D05B63" w:rsidRDefault="00D05B63" w:rsidP="0048141E">
            <w:pPr>
              <w:jc w:val="both"/>
              <w:rPr>
                <w:szCs w:val="24"/>
              </w:rPr>
            </w:pPr>
            <w:r>
              <w:rPr>
                <w:szCs w:val="24"/>
              </w:rPr>
              <w:t xml:space="preserve">      Atlikus anketinę apklausą dėl metodinės pagalbos planuojant, vadovų ir pedagogų teigimu yra siektina</w:t>
            </w:r>
            <w:r w:rsidR="00867A02">
              <w:rPr>
                <w:szCs w:val="24"/>
              </w:rPr>
              <w:t xml:space="preserve"> </w:t>
            </w:r>
            <w:r>
              <w:rPr>
                <w:szCs w:val="24"/>
              </w:rPr>
              <w:t>taikyti aktyvius konsultacijų metodus, parengti kokybiško planavimo pavyzdžių aplankalus, įsigyti naujausios metodinės literatūros</w:t>
            </w:r>
            <w:r w:rsidR="00964E32">
              <w:rPr>
                <w:szCs w:val="24"/>
              </w:rPr>
              <w:t>, rengti</w:t>
            </w:r>
            <w:r w:rsidR="00A53F5D">
              <w:rPr>
                <w:szCs w:val="24"/>
              </w:rPr>
              <w:t xml:space="preserve"> seminarą</w:t>
            </w:r>
            <w:r>
              <w:rPr>
                <w:szCs w:val="24"/>
              </w:rPr>
              <w:t xml:space="preserve"> planavimo klausimais.</w:t>
            </w:r>
            <w:r w:rsidR="00167F9A">
              <w:rPr>
                <w:szCs w:val="24"/>
              </w:rPr>
              <w:t xml:space="preserve">      </w:t>
            </w:r>
          </w:p>
          <w:p w:rsidR="00D05B63" w:rsidRDefault="00D05B63" w:rsidP="0048141E">
            <w:pPr>
              <w:jc w:val="both"/>
              <w:rPr>
                <w:szCs w:val="24"/>
              </w:rPr>
            </w:pPr>
          </w:p>
          <w:p w:rsidR="00D05B63" w:rsidRDefault="00D05B63" w:rsidP="0048141E">
            <w:pPr>
              <w:jc w:val="both"/>
              <w:rPr>
                <w:szCs w:val="24"/>
              </w:rPr>
            </w:pPr>
          </w:p>
          <w:p w:rsidR="00D05B63" w:rsidRDefault="00D05B63" w:rsidP="0048141E">
            <w:pPr>
              <w:jc w:val="both"/>
              <w:rPr>
                <w:szCs w:val="24"/>
              </w:rPr>
            </w:pPr>
          </w:p>
          <w:p w:rsidR="0048141E" w:rsidRDefault="0048141E" w:rsidP="0048141E">
            <w:pPr>
              <w:jc w:val="both"/>
              <w:rPr>
                <w:szCs w:val="24"/>
              </w:rPr>
            </w:pPr>
          </w:p>
        </w:tc>
      </w:tr>
    </w:tbl>
    <w:p w:rsidR="009E57AF" w:rsidRDefault="009E57AF" w:rsidP="001A0B5E">
      <w:pPr>
        <w:jc w:val="both"/>
        <w:rPr>
          <w:szCs w:val="24"/>
        </w:rPr>
      </w:pPr>
    </w:p>
    <w:p w:rsidR="009E57AF" w:rsidRDefault="009E57AF" w:rsidP="001A0B5E">
      <w:pPr>
        <w:jc w:val="both"/>
        <w:rPr>
          <w:szCs w:val="24"/>
        </w:rPr>
      </w:pPr>
    </w:p>
    <w:p w:rsidR="00F5147C" w:rsidRDefault="00F5147C" w:rsidP="001A0B5E">
      <w:pPr>
        <w:jc w:val="both"/>
        <w:rPr>
          <w:szCs w:val="24"/>
        </w:rPr>
      </w:pPr>
    </w:p>
    <w:p w:rsidR="00013829" w:rsidRDefault="00013829" w:rsidP="001A0B5E">
      <w:pPr>
        <w:jc w:val="both"/>
        <w:rPr>
          <w:szCs w:val="24"/>
        </w:rPr>
      </w:pPr>
    </w:p>
    <w:p w:rsidR="00062923" w:rsidRDefault="00062923" w:rsidP="001A0B5E">
      <w:pPr>
        <w:jc w:val="both"/>
        <w:rPr>
          <w:b/>
          <w:szCs w:val="24"/>
        </w:rPr>
      </w:pPr>
      <w:r>
        <w:rPr>
          <w:b/>
          <w:szCs w:val="24"/>
        </w:rPr>
        <w:lastRenderedPageBreak/>
        <w:t>VII. Tobulinti pasirinkti</w:t>
      </w:r>
      <w:r w:rsidRPr="00062923">
        <w:rPr>
          <w:b/>
          <w:szCs w:val="24"/>
        </w:rPr>
        <w:t xml:space="preserve"> veiklos aspektai (nurodyti pagalbinius rodiklius)</w:t>
      </w:r>
      <w:r>
        <w:rPr>
          <w:b/>
          <w:szCs w:val="24"/>
        </w:rPr>
        <w:t xml:space="preserve"> ir</w:t>
      </w:r>
      <w:r w:rsidR="003C1748">
        <w:rPr>
          <w:b/>
          <w:szCs w:val="24"/>
        </w:rPr>
        <w:t xml:space="preserve"> rekomendacijos planuojant 2015</w:t>
      </w:r>
      <w:r w:rsidR="001C5B00">
        <w:rPr>
          <w:b/>
          <w:szCs w:val="24"/>
        </w:rPr>
        <w:t>–</w:t>
      </w:r>
      <w:r w:rsidR="003C1748">
        <w:rPr>
          <w:b/>
          <w:szCs w:val="24"/>
        </w:rPr>
        <w:t>2016</w:t>
      </w:r>
      <w:r>
        <w:rPr>
          <w:b/>
          <w:szCs w:val="24"/>
        </w:rPr>
        <w:t xml:space="preserve"> m. m. įstaigos veiklą</w:t>
      </w:r>
      <w:r w:rsidRPr="00062923">
        <w:rPr>
          <w:b/>
          <w:szCs w:val="24"/>
        </w:rPr>
        <w:t>.</w:t>
      </w:r>
    </w:p>
    <w:p w:rsidR="00062923" w:rsidRDefault="00062923" w:rsidP="001A0B5E">
      <w:pPr>
        <w:jc w:val="both"/>
        <w:rPr>
          <w:b/>
          <w:szCs w:val="24"/>
        </w:rPr>
      </w:pPr>
    </w:p>
    <w:p w:rsidR="00062923" w:rsidRDefault="004D3120" w:rsidP="001A0B5E">
      <w:pPr>
        <w:jc w:val="both"/>
        <w:rPr>
          <w:szCs w:val="24"/>
        </w:rPr>
      </w:pPr>
      <w:r>
        <w:rPr>
          <w:szCs w:val="24"/>
        </w:rPr>
        <w:t>Išanalizavus pagalbinius rodiklius 2.2.2. Planavimo procedūrų kokybė ir 2.2.3.</w:t>
      </w:r>
      <w:r w:rsidR="00062923">
        <w:rPr>
          <w:szCs w:val="24"/>
        </w:rPr>
        <w:t xml:space="preserve"> </w:t>
      </w:r>
      <w:r>
        <w:rPr>
          <w:szCs w:val="24"/>
        </w:rPr>
        <w:t>Metodinė pagalba planavimui</w:t>
      </w:r>
      <w:r w:rsidR="00062923">
        <w:rPr>
          <w:szCs w:val="24"/>
        </w:rPr>
        <w:t xml:space="preserve">, </w:t>
      </w:r>
      <w:r>
        <w:rPr>
          <w:szCs w:val="24"/>
        </w:rPr>
        <w:t>2015</w:t>
      </w:r>
      <w:r w:rsidR="00907B6C">
        <w:rPr>
          <w:szCs w:val="24"/>
        </w:rPr>
        <w:sym w:font="Symbol" w:char="F02D"/>
      </w:r>
      <w:r>
        <w:rPr>
          <w:szCs w:val="24"/>
        </w:rPr>
        <w:t>2016</w:t>
      </w:r>
      <w:r w:rsidR="00907B6C">
        <w:rPr>
          <w:szCs w:val="24"/>
        </w:rPr>
        <w:t xml:space="preserve"> m. m. </w:t>
      </w:r>
      <w:r w:rsidR="00062923">
        <w:rPr>
          <w:szCs w:val="24"/>
        </w:rPr>
        <w:t>pasirinkta tobu</w:t>
      </w:r>
      <w:r>
        <w:rPr>
          <w:szCs w:val="24"/>
        </w:rPr>
        <w:t>linti šiuos rodiklius</w:t>
      </w:r>
      <w:r w:rsidR="00062923">
        <w:rPr>
          <w:szCs w:val="24"/>
        </w:rPr>
        <w:t>.</w:t>
      </w:r>
    </w:p>
    <w:p w:rsidR="002366FE" w:rsidRDefault="002366FE" w:rsidP="001A0B5E">
      <w:pPr>
        <w:jc w:val="both"/>
        <w:rPr>
          <w:szCs w:val="24"/>
        </w:rPr>
      </w:pPr>
    </w:p>
    <w:p w:rsidR="00062923" w:rsidRDefault="00E118A4" w:rsidP="001A0B5E">
      <w:pPr>
        <w:jc w:val="both"/>
        <w:rPr>
          <w:szCs w:val="24"/>
        </w:rPr>
      </w:pPr>
      <w:r>
        <w:rPr>
          <w:szCs w:val="24"/>
        </w:rPr>
        <w:t>Rekomendacijos</w:t>
      </w:r>
      <w:r w:rsidR="007E33D9">
        <w:rPr>
          <w:szCs w:val="24"/>
        </w:rPr>
        <w:t xml:space="preserve"> veiklai tobulinti</w:t>
      </w:r>
      <w:r>
        <w:rPr>
          <w:szCs w:val="24"/>
        </w:rPr>
        <w:t>:</w:t>
      </w:r>
    </w:p>
    <w:p w:rsidR="00B943F5" w:rsidRDefault="00B943F5" w:rsidP="001A0B5E">
      <w:pPr>
        <w:jc w:val="both"/>
        <w:rPr>
          <w:szCs w:val="24"/>
        </w:rPr>
      </w:pPr>
      <w:r>
        <w:rPr>
          <w:szCs w:val="24"/>
        </w:rPr>
        <w:t xml:space="preserve">      Kasdienėje ugdomojoje veikloje, taikyti tokius ugdymo metodus, kurie skatintų vaikų kūrybiškumą, spontanišką kūrybą. Ieškoti naujų priemonių, kurios skatintų tėvus aktyviau dalyvauti ugdymo procese.</w:t>
      </w:r>
    </w:p>
    <w:p w:rsidR="00B943F5" w:rsidRDefault="00B943F5" w:rsidP="001A0B5E">
      <w:pPr>
        <w:jc w:val="both"/>
        <w:rPr>
          <w:szCs w:val="24"/>
        </w:rPr>
      </w:pPr>
      <w:r>
        <w:rPr>
          <w:szCs w:val="24"/>
        </w:rPr>
        <w:t xml:space="preserve">      Siekiant kokybiško planavimo taikyti aktyvius konsultacijų metodus. Parengti kokybiško planavimo pavyzdžių aplankalą, kuriuo metodiniame kabinete galėtų naudotis pedagogai. Įsigyti naujausios metodinės literatūros bei informacinės medžiagos planavimo klausimais.       </w:t>
      </w:r>
    </w:p>
    <w:p w:rsidR="00062923" w:rsidRDefault="00062923" w:rsidP="001A0B5E">
      <w:pPr>
        <w:jc w:val="both"/>
        <w:rPr>
          <w:szCs w:val="24"/>
        </w:rPr>
      </w:pPr>
    </w:p>
    <w:p w:rsidR="00062923" w:rsidRDefault="00062923" w:rsidP="001A0B5E">
      <w:pPr>
        <w:jc w:val="both"/>
        <w:rPr>
          <w:b/>
          <w:szCs w:val="24"/>
        </w:rPr>
      </w:pPr>
      <w:r>
        <w:rPr>
          <w:szCs w:val="24"/>
        </w:rPr>
        <w:t xml:space="preserve">Audito grupės vadovė                                     ____________                                     </w:t>
      </w:r>
      <w:r w:rsidRPr="00062923">
        <w:rPr>
          <w:b/>
          <w:szCs w:val="24"/>
        </w:rPr>
        <w:t>Giedrė Bakienė</w:t>
      </w:r>
    </w:p>
    <w:p w:rsidR="00062923" w:rsidRPr="00062923" w:rsidRDefault="00062923" w:rsidP="001A0B5E">
      <w:pPr>
        <w:jc w:val="both"/>
        <w:rPr>
          <w:szCs w:val="24"/>
        </w:rPr>
      </w:pPr>
      <w:r>
        <w:rPr>
          <w:b/>
          <w:szCs w:val="24"/>
        </w:rPr>
        <w:t xml:space="preserve">                                                                        </w:t>
      </w:r>
      <w:r w:rsidR="00E118A4">
        <w:rPr>
          <w:b/>
          <w:szCs w:val="24"/>
        </w:rPr>
        <w:t xml:space="preserve">    </w:t>
      </w:r>
      <w:r>
        <w:rPr>
          <w:b/>
          <w:szCs w:val="24"/>
        </w:rPr>
        <w:t xml:space="preserve">  </w:t>
      </w:r>
      <w:r w:rsidRPr="00062923">
        <w:rPr>
          <w:szCs w:val="24"/>
        </w:rPr>
        <w:t>(parašas)</w:t>
      </w:r>
    </w:p>
    <w:p w:rsidR="00062923" w:rsidRPr="00062923" w:rsidRDefault="00062923" w:rsidP="001A0B5E">
      <w:pPr>
        <w:jc w:val="both"/>
        <w:rPr>
          <w:b/>
          <w:szCs w:val="24"/>
        </w:rPr>
      </w:pPr>
    </w:p>
    <w:p w:rsidR="00062923" w:rsidRPr="0062170A" w:rsidRDefault="00062923" w:rsidP="001A0B5E">
      <w:pPr>
        <w:jc w:val="both"/>
        <w:rPr>
          <w:szCs w:val="24"/>
        </w:rPr>
      </w:pPr>
    </w:p>
    <w:sectPr w:rsidR="00062923" w:rsidRPr="0062170A" w:rsidSect="00FF23A2">
      <w:pgSz w:w="11906" w:h="16838"/>
      <w:pgMar w:top="1134"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348C1"/>
    <w:multiLevelType w:val="multilevel"/>
    <w:tmpl w:val="EF86A916"/>
    <w:lvl w:ilvl="0">
      <w:start w:val="1"/>
      <w:numFmt w:val="decimal"/>
      <w:lvlText w:val="%1."/>
      <w:lvlJc w:val="left"/>
      <w:pPr>
        <w:ind w:left="1650" w:hanging="360"/>
      </w:pPr>
      <w:rPr>
        <w:rFonts w:ascii="Times New Roman" w:eastAsiaTheme="minorHAnsi" w:hAnsi="Times New Roman" w:cstheme="minorBidi"/>
      </w:rPr>
    </w:lvl>
    <w:lvl w:ilvl="1">
      <w:start w:val="1"/>
      <w:numFmt w:val="decimal"/>
      <w:isLgl/>
      <w:lvlText w:val="%1.%2."/>
      <w:lvlJc w:val="left"/>
      <w:pPr>
        <w:ind w:left="1650" w:hanging="360"/>
      </w:pPr>
      <w:rPr>
        <w:rFonts w:hint="default"/>
      </w:rPr>
    </w:lvl>
    <w:lvl w:ilvl="2">
      <w:start w:val="1"/>
      <w:numFmt w:val="decimal"/>
      <w:isLgl/>
      <w:lvlText w:val="%1.%2.%3."/>
      <w:lvlJc w:val="left"/>
      <w:pPr>
        <w:ind w:left="2010" w:hanging="720"/>
      </w:pPr>
      <w:rPr>
        <w:rFonts w:hint="default"/>
      </w:rPr>
    </w:lvl>
    <w:lvl w:ilvl="3">
      <w:start w:val="1"/>
      <w:numFmt w:val="decimal"/>
      <w:isLgl/>
      <w:lvlText w:val="%1.%2.%3.%4."/>
      <w:lvlJc w:val="left"/>
      <w:pPr>
        <w:ind w:left="2010" w:hanging="720"/>
      </w:pPr>
      <w:rPr>
        <w:rFonts w:hint="default"/>
      </w:rPr>
    </w:lvl>
    <w:lvl w:ilvl="4">
      <w:start w:val="1"/>
      <w:numFmt w:val="decimal"/>
      <w:isLgl/>
      <w:lvlText w:val="%1.%2.%3.%4.%5."/>
      <w:lvlJc w:val="left"/>
      <w:pPr>
        <w:ind w:left="2370" w:hanging="1080"/>
      </w:pPr>
      <w:rPr>
        <w:rFonts w:hint="default"/>
      </w:rPr>
    </w:lvl>
    <w:lvl w:ilvl="5">
      <w:start w:val="1"/>
      <w:numFmt w:val="decimal"/>
      <w:isLgl/>
      <w:lvlText w:val="%1.%2.%3.%4.%5.%6."/>
      <w:lvlJc w:val="left"/>
      <w:pPr>
        <w:ind w:left="2370" w:hanging="1080"/>
      </w:pPr>
      <w:rPr>
        <w:rFonts w:hint="default"/>
      </w:rPr>
    </w:lvl>
    <w:lvl w:ilvl="6">
      <w:start w:val="1"/>
      <w:numFmt w:val="decimal"/>
      <w:isLgl/>
      <w:lvlText w:val="%1.%2.%3.%4.%5.%6.%7."/>
      <w:lvlJc w:val="left"/>
      <w:pPr>
        <w:ind w:left="2730" w:hanging="1440"/>
      </w:pPr>
      <w:rPr>
        <w:rFonts w:hint="default"/>
      </w:rPr>
    </w:lvl>
    <w:lvl w:ilvl="7">
      <w:start w:val="1"/>
      <w:numFmt w:val="decimal"/>
      <w:isLgl/>
      <w:lvlText w:val="%1.%2.%3.%4.%5.%6.%7.%8."/>
      <w:lvlJc w:val="left"/>
      <w:pPr>
        <w:ind w:left="2730" w:hanging="1440"/>
      </w:pPr>
      <w:rPr>
        <w:rFonts w:hint="default"/>
      </w:rPr>
    </w:lvl>
    <w:lvl w:ilvl="8">
      <w:start w:val="1"/>
      <w:numFmt w:val="decimal"/>
      <w:isLgl/>
      <w:lvlText w:val="%1.%2.%3.%4.%5.%6.%7.%8.%9."/>
      <w:lvlJc w:val="left"/>
      <w:pPr>
        <w:ind w:left="3090" w:hanging="1800"/>
      </w:pPr>
      <w:rPr>
        <w:rFonts w:hint="default"/>
      </w:rPr>
    </w:lvl>
  </w:abstractNum>
  <w:abstractNum w:abstractNumId="1">
    <w:nsid w:val="09ED6B26"/>
    <w:multiLevelType w:val="multilevel"/>
    <w:tmpl w:val="30823B6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F32041F"/>
    <w:multiLevelType w:val="hybridMultilevel"/>
    <w:tmpl w:val="09126A2C"/>
    <w:lvl w:ilvl="0" w:tplc="B9683EC2">
      <w:start w:val="1"/>
      <w:numFmt w:val="decimal"/>
      <w:lvlText w:val="%1."/>
      <w:lvlJc w:val="left"/>
      <w:pPr>
        <w:ind w:left="1680" w:hanging="360"/>
      </w:pPr>
      <w:rPr>
        <w:rFonts w:hint="default"/>
      </w:rPr>
    </w:lvl>
    <w:lvl w:ilvl="1" w:tplc="04270019" w:tentative="1">
      <w:start w:val="1"/>
      <w:numFmt w:val="lowerLetter"/>
      <w:lvlText w:val="%2."/>
      <w:lvlJc w:val="left"/>
      <w:pPr>
        <w:ind w:left="2400" w:hanging="360"/>
      </w:pPr>
    </w:lvl>
    <w:lvl w:ilvl="2" w:tplc="0427001B" w:tentative="1">
      <w:start w:val="1"/>
      <w:numFmt w:val="lowerRoman"/>
      <w:lvlText w:val="%3."/>
      <w:lvlJc w:val="right"/>
      <w:pPr>
        <w:ind w:left="3120" w:hanging="180"/>
      </w:pPr>
    </w:lvl>
    <w:lvl w:ilvl="3" w:tplc="0427000F" w:tentative="1">
      <w:start w:val="1"/>
      <w:numFmt w:val="decimal"/>
      <w:lvlText w:val="%4."/>
      <w:lvlJc w:val="left"/>
      <w:pPr>
        <w:ind w:left="3840" w:hanging="360"/>
      </w:pPr>
    </w:lvl>
    <w:lvl w:ilvl="4" w:tplc="04270019" w:tentative="1">
      <w:start w:val="1"/>
      <w:numFmt w:val="lowerLetter"/>
      <w:lvlText w:val="%5."/>
      <w:lvlJc w:val="left"/>
      <w:pPr>
        <w:ind w:left="4560" w:hanging="360"/>
      </w:pPr>
    </w:lvl>
    <w:lvl w:ilvl="5" w:tplc="0427001B" w:tentative="1">
      <w:start w:val="1"/>
      <w:numFmt w:val="lowerRoman"/>
      <w:lvlText w:val="%6."/>
      <w:lvlJc w:val="right"/>
      <w:pPr>
        <w:ind w:left="5280" w:hanging="180"/>
      </w:pPr>
    </w:lvl>
    <w:lvl w:ilvl="6" w:tplc="0427000F" w:tentative="1">
      <w:start w:val="1"/>
      <w:numFmt w:val="decimal"/>
      <w:lvlText w:val="%7."/>
      <w:lvlJc w:val="left"/>
      <w:pPr>
        <w:ind w:left="6000" w:hanging="360"/>
      </w:pPr>
    </w:lvl>
    <w:lvl w:ilvl="7" w:tplc="04270019" w:tentative="1">
      <w:start w:val="1"/>
      <w:numFmt w:val="lowerLetter"/>
      <w:lvlText w:val="%8."/>
      <w:lvlJc w:val="left"/>
      <w:pPr>
        <w:ind w:left="6720" w:hanging="360"/>
      </w:pPr>
    </w:lvl>
    <w:lvl w:ilvl="8" w:tplc="0427001B" w:tentative="1">
      <w:start w:val="1"/>
      <w:numFmt w:val="lowerRoman"/>
      <w:lvlText w:val="%9."/>
      <w:lvlJc w:val="right"/>
      <w:pPr>
        <w:ind w:left="7440" w:hanging="180"/>
      </w:pPr>
    </w:lvl>
  </w:abstractNum>
  <w:abstractNum w:abstractNumId="3">
    <w:nsid w:val="2BF76FDE"/>
    <w:multiLevelType w:val="hybridMultilevel"/>
    <w:tmpl w:val="51849C4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3FAE24A1"/>
    <w:multiLevelType w:val="hybridMultilevel"/>
    <w:tmpl w:val="C9C2B58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42A33AE8"/>
    <w:multiLevelType w:val="multilevel"/>
    <w:tmpl w:val="4A726E6C"/>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42F32E45"/>
    <w:multiLevelType w:val="hybridMultilevel"/>
    <w:tmpl w:val="95E63FF2"/>
    <w:lvl w:ilvl="0" w:tplc="D032894C">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46D21E7C"/>
    <w:multiLevelType w:val="hybridMultilevel"/>
    <w:tmpl w:val="39AA994A"/>
    <w:lvl w:ilvl="0" w:tplc="8292A75E">
      <w:start w:val="1"/>
      <w:numFmt w:val="decimal"/>
      <w:lvlText w:val="%1."/>
      <w:lvlJc w:val="left"/>
      <w:pPr>
        <w:ind w:left="1650" w:hanging="360"/>
      </w:pPr>
      <w:rPr>
        <w:rFonts w:hint="default"/>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8">
    <w:nsid w:val="4BA839FF"/>
    <w:multiLevelType w:val="hybridMultilevel"/>
    <w:tmpl w:val="73424EFE"/>
    <w:lvl w:ilvl="0" w:tplc="B946602C">
      <w:start w:val="1"/>
      <w:numFmt w:val="decimal"/>
      <w:lvlText w:val="%1"/>
      <w:lvlJc w:val="left"/>
      <w:pPr>
        <w:ind w:left="1650" w:hanging="360"/>
      </w:pPr>
      <w:rPr>
        <w:rFonts w:ascii="Times New Roman" w:eastAsiaTheme="minorHAnsi" w:hAnsi="Times New Roman" w:cstheme="minorBidi"/>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9">
    <w:nsid w:val="560719C0"/>
    <w:multiLevelType w:val="hybridMultilevel"/>
    <w:tmpl w:val="75B413F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
  </w:num>
  <w:num w:numId="2">
    <w:abstractNumId w:val="0"/>
  </w:num>
  <w:num w:numId="3">
    <w:abstractNumId w:val="7"/>
  </w:num>
  <w:num w:numId="4">
    <w:abstractNumId w:val="8"/>
  </w:num>
  <w:num w:numId="5">
    <w:abstractNumId w:val="4"/>
  </w:num>
  <w:num w:numId="6">
    <w:abstractNumId w:val="9"/>
  </w:num>
  <w:num w:numId="7">
    <w:abstractNumId w:val="1"/>
  </w:num>
  <w:num w:numId="8">
    <w:abstractNumId w:val="3"/>
  </w:num>
  <w:num w:numId="9">
    <w:abstractNumId w:val="5"/>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drawingGridHorizontalSpacing w:val="120"/>
  <w:displayHorizontalDrawingGridEvery w:val="2"/>
  <w:displayVerticalDrawingGridEvery w:val="2"/>
  <w:characterSpacingControl w:val="doNotCompress"/>
  <w:compat/>
  <w:rsids>
    <w:rsidRoot w:val="009F35E4"/>
    <w:rsid w:val="00013829"/>
    <w:rsid w:val="0001709B"/>
    <w:rsid w:val="00031A32"/>
    <w:rsid w:val="00062923"/>
    <w:rsid w:val="00085BF2"/>
    <w:rsid w:val="00086782"/>
    <w:rsid w:val="000A6BE8"/>
    <w:rsid w:val="000B7BF6"/>
    <w:rsid w:val="000C5B82"/>
    <w:rsid w:val="000C7A57"/>
    <w:rsid w:val="000E3E9A"/>
    <w:rsid w:val="000E7F67"/>
    <w:rsid w:val="00104913"/>
    <w:rsid w:val="00110536"/>
    <w:rsid w:val="00131082"/>
    <w:rsid w:val="00167F9A"/>
    <w:rsid w:val="001866AE"/>
    <w:rsid w:val="00190E03"/>
    <w:rsid w:val="001A0B5E"/>
    <w:rsid w:val="001C5B00"/>
    <w:rsid w:val="001F4763"/>
    <w:rsid w:val="0022073E"/>
    <w:rsid w:val="00224AB9"/>
    <w:rsid w:val="002366FE"/>
    <w:rsid w:val="00257CF2"/>
    <w:rsid w:val="002C599C"/>
    <w:rsid w:val="0034748C"/>
    <w:rsid w:val="00354682"/>
    <w:rsid w:val="0036112B"/>
    <w:rsid w:val="00381135"/>
    <w:rsid w:val="003A5ABA"/>
    <w:rsid w:val="003C1748"/>
    <w:rsid w:val="003D1C5F"/>
    <w:rsid w:val="00410671"/>
    <w:rsid w:val="00431EB5"/>
    <w:rsid w:val="00453D14"/>
    <w:rsid w:val="0048141E"/>
    <w:rsid w:val="004A7F11"/>
    <w:rsid w:val="004D1C7E"/>
    <w:rsid w:val="004D3120"/>
    <w:rsid w:val="004E6BE5"/>
    <w:rsid w:val="00525DD7"/>
    <w:rsid w:val="00547393"/>
    <w:rsid w:val="00557B5D"/>
    <w:rsid w:val="005816C2"/>
    <w:rsid w:val="00582895"/>
    <w:rsid w:val="00604885"/>
    <w:rsid w:val="0062170A"/>
    <w:rsid w:val="006754C4"/>
    <w:rsid w:val="006864D7"/>
    <w:rsid w:val="006965F5"/>
    <w:rsid w:val="006A539C"/>
    <w:rsid w:val="006A76E3"/>
    <w:rsid w:val="007013D9"/>
    <w:rsid w:val="00707018"/>
    <w:rsid w:val="007629BE"/>
    <w:rsid w:val="00763074"/>
    <w:rsid w:val="00763D09"/>
    <w:rsid w:val="0077699C"/>
    <w:rsid w:val="007942F3"/>
    <w:rsid w:val="007E33D9"/>
    <w:rsid w:val="007E56D2"/>
    <w:rsid w:val="00835BFE"/>
    <w:rsid w:val="00860B6B"/>
    <w:rsid w:val="00867A02"/>
    <w:rsid w:val="00873261"/>
    <w:rsid w:val="00876308"/>
    <w:rsid w:val="008B66C5"/>
    <w:rsid w:val="00907B6C"/>
    <w:rsid w:val="00922FFD"/>
    <w:rsid w:val="00950EE4"/>
    <w:rsid w:val="00964E32"/>
    <w:rsid w:val="00980B4F"/>
    <w:rsid w:val="00992652"/>
    <w:rsid w:val="009A6FD0"/>
    <w:rsid w:val="009D1EEB"/>
    <w:rsid w:val="009E2944"/>
    <w:rsid w:val="009E57AF"/>
    <w:rsid w:val="009F35E4"/>
    <w:rsid w:val="009F35F9"/>
    <w:rsid w:val="00A00CF3"/>
    <w:rsid w:val="00A20FCC"/>
    <w:rsid w:val="00A332BB"/>
    <w:rsid w:val="00A53F5D"/>
    <w:rsid w:val="00A67B95"/>
    <w:rsid w:val="00A90692"/>
    <w:rsid w:val="00A91AE8"/>
    <w:rsid w:val="00A92AFB"/>
    <w:rsid w:val="00AA1316"/>
    <w:rsid w:val="00AE223C"/>
    <w:rsid w:val="00AE2A5F"/>
    <w:rsid w:val="00AF7CE3"/>
    <w:rsid w:val="00B02737"/>
    <w:rsid w:val="00B06C5D"/>
    <w:rsid w:val="00B354FD"/>
    <w:rsid w:val="00B6224D"/>
    <w:rsid w:val="00B77E5B"/>
    <w:rsid w:val="00B81484"/>
    <w:rsid w:val="00B943F5"/>
    <w:rsid w:val="00B9760C"/>
    <w:rsid w:val="00BF20C0"/>
    <w:rsid w:val="00C134B9"/>
    <w:rsid w:val="00C513F9"/>
    <w:rsid w:val="00C76F3C"/>
    <w:rsid w:val="00CC6E15"/>
    <w:rsid w:val="00CF03E6"/>
    <w:rsid w:val="00D01731"/>
    <w:rsid w:val="00D05B63"/>
    <w:rsid w:val="00D1049A"/>
    <w:rsid w:val="00D275B4"/>
    <w:rsid w:val="00D44278"/>
    <w:rsid w:val="00D607AA"/>
    <w:rsid w:val="00DA4D04"/>
    <w:rsid w:val="00DA62C1"/>
    <w:rsid w:val="00DB36D3"/>
    <w:rsid w:val="00DC33F9"/>
    <w:rsid w:val="00DF52FD"/>
    <w:rsid w:val="00E0227B"/>
    <w:rsid w:val="00E118A4"/>
    <w:rsid w:val="00E42E58"/>
    <w:rsid w:val="00E92186"/>
    <w:rsid w:val="00EE2F5C"/>
    <w:rsid w:val="00EE7237"/>
    <w:rsid w:val="00EF169D"/>
    <w:rsid w:val="00EF3355"/>
    <w:rsid w:val="00F34B57"/>
    <w:rsid w:val="00F400D8"/>
    <w:rsid w:val="00F46E7A"/>
    <w:rsid w:val="00F5147C"/>
    <w:rsid w:val="00F67FAC"/>
    <w:rsid w:val="00FA7CF2"/>
    <w:rsid w:val="00FF23A2"/>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lt-LT"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5F5"/>
  </w:style>
  <w:style w:type="paragraph" w:styleId="Heading1">
    <w:name w:val="heading 1"/>
    <w:basedOn w:val="Normal"/>
    <w:next w:val="Normal"/>
    <w:link w:val="Heading1Char"/>
    <w:uiPriority w:val="9"/>
    <w:qFormat/>
    <w:rsid w:val="006965F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965F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965F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65F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965F5"/>
    <w:rPr>
      <w:rFonts w:asciiTheme="majorHAnsi" w:eastAsiaTheme="majorEastAsia" w:hAnsiTheme="majorHAnsi" w:cstheme="majorBidi"/>
      <w:b/>
      <w:bCs/>
      <w:color w:val="4F81BD" w:themeColor="accent1"/>
      <w:sz w:val="26"/>
      <w:szCs w:val="26"/>
    </w:rPr>
  </w:style>
  <w:style w:type="paragraph" w:styleId="Caption">
    <w:name w:val="caption"/>
    <w:basedOn w:val="Normal"/>
    <w:next w:val="Normal"/>
    <w:uiPriority w:val="35"/>
    <w:unhideWhenUsed/>
    <w:qFormat/>
    <w:rsid w:val="006965F5"/>
    <w:pPr>
      <w:spacing w:after="200" w:line="240" w:lineRule="auto"/>
    </w:pPr>
    <w:rPr>
      <w:b/>
      <w:bCs/>
      <w:color w:val="4F81BD" w:themeColor="accent1"/>
      <w:sz w:val="18"/>
      <w:szCs w:val="18"/>
    </w:rPr>
  </w:style>
  <w:style w:type="paragraph" w:styleId="Title">
    <w:name w:val="Title"/>
    <w:basedOn w:val="Normal"/>
    <w:next w:val="Normal"/>
    <w:link w:val="TitleChar"/>
    <w:uiPriority w:val="10"/>
    <w:qFormat/>
    <w:rsid w:val="006965F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965F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965F5"/>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6965F5"/>
    <w:rPr>
      <w:rFonts w:asciiTheme="majorHAnsi" w:eastAsiaTheme="majorEastAsia" w:hAnsiTheme="majorHAnsi" w:cstheme="majorBidi"/>
      <w:i/>
      <w:iCs/>
      <w:color w:val="4F81BD" w:themeColor="accent1"/>
      <w:spacing w:val="15"/>
      <w:szCs w:val="24"/>
    </w:rPr>
  </w:style>
  <w:style w:type="character" w:styleId="Strong">
    <w:name w:val="Strong"/>
    <w:basedOn w:val="DefaultParagraphFont"/>
    <w:uiPriority w:val="22"/>
    <w:qFormat/>
    <w:rsid w:val="006965F5"/>
    <w:rPr>
      <w:b/>
      <w:bCs/>
    </w:rPr>
  </w:style>
  <w:style w:type="character" w:styleId="Emphasis">
    <w:name w:val="Emphasis"/>
    <w:basedOn w:val="DefaultParagraphFont"/>
    <w:uiPriority w:val="20"/>
    <w:qFormat/>
    <w:rsid w:val="006965F5"/>
    <w:rPr>
      <w:i/>
      <w:iCs/>
    </w:rPr>
  </w:style>
  <w:style w:type="paragraph" w:styleId="NoSpacing">
    <w:name w:val="No Spacing"/>
    <w:uiPriority w:val="1"/>
    <w:qFormat/>
    <w:rsid w:val="006965F5"/>
    <w:pPr>
      <w:spacing w:line="240" w:lineRule="auto"/>
    </w:pPr>
  </w:style>
  <w:style w:type="paragraph" w:styleId="ListParagraph">
    <w:name w:val="List Paragraph"/>
    <w:basedOn w:val="Normal"/>
    <w:uiPriority w:val="34"/>
    <w:qFormat/>
    <w:rsid w:val="006965F5"/>
    <w:pPr>
      <w:ind w:left="720"/>
      <w:contextualSpacing/>
    </w:pPr>
  </w:style>
  <w:style w:type="paragraph" w:styleId="Quote">
    <w:name w:val="Quote"/>
    <w:basedOn w:val="Normal"/>
    <w:next w:val="Normal"/>
    <w:link w:val="QuoteChar"/>
    <w:uiPriority w:val="29"/>
    <w:qFormat/>
    <w:rsid w:val="006965F5"/>
    <w:rPr>
      <w:i/>
      <w:iCs/>
      <w:color w:val="000000" w:themeColor="text1"/>
    </w:rPr>
  </w:style>
  <w:style w:type="character" w:customStyle="1" w:styleId="QuoteChar">
    <w:name w:val="Quote Char"/>
    <w:basedOn w:val="DefaultParagraphFont"/>
    <w:link w:val="Quote"/>
    <w:uiPriority w:val="29"/>
    <w:rsid w:val="006965F5"/>
    <w:rPr>
      <w:i/>
      <w:iCs/>
      <w:color w:val="000000" w:themeColor="text1"/>
    </w:rPr>
  </w:style>
  <w:style w:type="paragraph" w:styleId="IntenseQuote">
    <w:name w:val="Intense Quote"/>
    <w:basedOn w:val="Normal"/>
    <w:next w:val="Normal"/>
    <w:link w:val="IntenseQuoteChar"/>
    <w:uiPriority w:val="30"/>
    <w:qFormat/>
    <w:rsid w:val="006965F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965F5"/>
    <w:rPr>
      <w:b/>
      <w:bCs/>
      <w:i/>
      <w:iCs/>
      <w:color w:val="4F81BD" w:themeColor="accent1"/>
    </w:rPr>
  </w:style>
  <w:style w:type="character" w:styleId="SubtleEmphasis">
    <w:name w:val="Subtle Emphasis"/>
    <w:basedOn w:val="DefaultParagraphFont"/>
    <w:uiPriority w:val="19"/>
    <w:qFormat/>
    <w:rsid w:val="006965F5"/>
    <w:rPr>
      <w:i/>
      <w:iCs/>
      <w:color w:val="808080" w:themeColor="text1" w:themeTint="7F"/>
    </w:rPr>
  </w:style>
  <w:style w:type="character" w:styleId="IntenseEmphasis">
    <w:name w:val="Intense Emphasis"/>
    <w:basedOn w:val="DefaultParagraphFont"/>
    <w:uiPriority w:val="21"/>
    <w:qFormat/>
    <w:rsid w:val="006965F5"/>
    <w:rPr>
      <w:b/>
      <w:bCs/>
      <w:i/>
      <w:iCs/>
      <w:color w:val="4F81BD" w:themeColor="accent1"/>
    </w:rPr>
  </w:style>
  <w:style w:type="character" w:styleId="SubtleReference">
    <w:name w:val="Subtle Reference"/>
    <w:basedOn w:val="DefaultParagraphFont"/>
    <w:uiPriority w:val="31"/>
    <w:qFormat/>
    <w:rsid w:val="006965F5"/>
    <w:rPr>
      <w:smallCaps/>
      <w:color w:val="C0504D" w:themeColor="accent2"/>
      <w:u w:val="single"/>
    </w:rPr>
  </w:style>
  <w:style w:type="character" w:styleId="IntenseReference">
    <w:name w:val="Intense Reference"/>
    <w:basedOn w:val="DefaultParagraphFont"/>
    <w:uiPriority w:val="32"/>
    <w:qFormat/>
    <w:rsid w:val="006965F5"/>
    <w:rPr>
      <w:b/>
      <w:bCs/>
      <w:smallCaps/>
      <w:color w:val="C0504D" w:themeColor="accent2"/>
      <w:spacing w:val="5"/>
      <w:u w:val="single"/>
    </w:rPr>
  </w:style>
  <w:style w:type="character" w:styleId="BookTitle">
    <w:name w:val="Book Title"/>
    <w:basedOn w:val="DefaultParagraphFont"/>
    <w:uiPriority w:val="33"/>
    <w:qFormat/>
    <w:rsid w:val="006965F5"/>
    <w:rPr>
      <w:b/>
      <w:bCs/>
      <w:smallCaps/>
      <w:spacing w:val="5"/>
    </w:rPr>
  </w:style>
  <w:style w:type="character" w:customStyle="1" w:styleId="Heading3Char">
    <w:name w:val="Heading 3 Char"/>
    <w:basedOn w:val="DefaultParagraphFont"/>
    <w:link w:val="Heading3"/>
    <w:uiPriority w:val="9"/>
    <w:rsid w:val="006965F5"/>
    <w:rPr>
      <w:rFonts w:asciiTheme="majorHAnsi" w:eastAsiaTheme="majorEastAsia" w:hAnsiTheme="majorHAnsi" w:cstheme="majorBidi"/>
      <w:b/>
      <w:bCs/>
      <w:color w:val="4F81BD" w:themeColor="accent1"/>
    </w:rPr>
  </w:style>
  <w:style w:type="table" w:styleId="TableGrid">
    <w:name w:val="Table Grid"/>
    <w:basedOn w:val="TableNormal"/>
    <w:uiPriority w:val="59"/>
    <w:rsid w:val="00876308"/>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4908</Words>
  <Characters>2798</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Pavaduodoja</dc:creator>
  <cp:keywords/>
  <dc:description/>
  <cp:lastModifiedBy>Pavaduodoja</cp:lastModifiedBy>
  <cp:revision>2</cp:revision>
  <cp:lastPrinted>2015-09-08T12:42:00Z</cp:lastPrinted>
  <dcterms:created xsi:type="dcterms:W3CDTF">2016-10-06T07:43:00Z</dcterms:created>
  <dcterms:modified xsi:type="dcterms:W3CDTF">2016-10-06T07:43:00Z</dcterms:modified>
</cp:coreProperties>
</file>